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D8" w:rsidRDefault="008001D8" w:rsidP="007E594E">
      <w:pPr>
        <w:rPr>
          <w:rFonts w:ascii="Times New Roman" w:hAnsi="Times New Roman" w:cs="Times New Roman"/>
          <w:sz w:val="24"/>
          <w:szCs w:val="24"/>
        </w:rPr>
      </w:pPr>
    </w:p>
    <w:p w:rsidR="007E594E" w:rsidRPr="00F9410A" w:rsidRDefault="00183B6D"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4971FF">
        <w:rPr>
          <w:rFonts w:ascii="Times New Roman" w:hAnsi="Times New Roman" w:cs="Times New Roman"/>
          <w:b/>
          <w:sz w:val="24"/>
          <w:szCs w:val="24"/>
        </w:rPr>
        <w:t xml:space="preserve">İstanbul, </w:t>
      </w:r>
      <w:r w:rsidR="00FC1F0A">
        <w:rPr>
          <w:rFonts w:ascii="Times New Roman" w:hAnsi="Times New Roman" w:cs="Times New Roman"/>
          <w:b/>
          <w:sz w:val="24"/>
          <w:szCs w:val="24"/>
        </w:rPr>
        <w:t>27</w:t>
      </w:r>
      <w:r w:rsidR="004971FF">
        <w:rPr>
          <w:rFonts w:ascii="Times New Roman" w:hAnsi="Times New Roman" w:cs="Times New Roman"/>
          <w:b/>
          <w:sz w:val="24"/>
          <w:szCs w:val="24"/>
        </w:rPr>
        <w:t>.12.2016</w:t>
      </w:r>
    </w:p>
    <w:p w:rsidR="007E594E" w:rsidRPr="00F9410A" w:rsidRDefault="003F6852" w:rsidP="007E594E">
      <w:pPr>
        <w:rPr>
          <w:rFonts w:ascii="Times New Roman" w:hAnsi="Times New Roman" w:cs="Times New Roman"/>
          <w:b/>
          <w:sz w:val="24"/>
          <w:szCs w:val="24"/>
        </w:rPr>
      </w:pPr>
      <w:r>
        <w:rPr>
          <w:rFonts w:ascii="Times New Roman" w:hAnsi="Times New Roman" w:cs="Times New Roman"/>
          <w:b/>
          <w:sz w:val="24"/>
          <w:szCs w:val="24"/>
        </w:rPr>
        <w:t xml:space="preserve"> </w:t>
      </w:r>
      <w:r w:rsidR="00FC1F0A">
        <w:rPr>
          <w:rFonts w:ascii="Times New Roman" w:hAnsi="Times New Roman" w:cs="Times New Roman"/>
          <w:b/>
          <w:sz w:val="24"/>
          <w:szCs w:val="24"/>
        </w:rPr>
        <w:t xml:space="preserve">                                      </w:t>
      </w:r>
      <w:r w:rsidR="005F402C">
        <w:rPr>
          <w:rFonts w:ascii="Times New Roman" w:hAnsi="Times New Roman" w:cs="Times New Roman"/>
          <w:b/>
          <w:sz w:val="24"/>
          <w:szCs w:val="24"/>
        </w:rPr>
        <w:t xml:space="preserve">               SİRKÜLER (2016-18</w:t>
      </w:r>
      <w:r w:rsidR="007E594E" w:rsidRPr="00F9410A">
        <w:rPr>
          <w:rFonts w:ascii="Times New Roman" w:hAnsi="Times New Roman" w:cs="Times New Roman"/>
          <w:b/>
          <w:sz w:val="24"/>
          <w:szCs w:val="24"/>
        </w:rPr>
        <w:t>)</w:t>
      </w:r>
    </w:p>
    <w:p w:rsidR="005F402C" w:rsidRPr="005F402C" w:rsidRDefault="007E594E" w:rsidP="009D04B1">
      <w:pPr>
        <w:rPr>
          <w:rFonts w:ascii="Times New Roman" w:hAnsi="Times New Roman" w:cs="Times New Roman"/>
          <w:b/>
          <w:bCs/>
          <w:sz w:val="24"/>
          <w:szCs w:val="24"/>
        </w:rPr>
      </w:pPr>
      <w:r w:rsidRPr="00FC1F0A">
        <w:rPr>
          <w:rFonts w:ascii="Times New Roman" w:hAnsi="Times New Roman" w:cs="Times New Roman"/>
          <w:b/>
          <w:sz w:val="24"/>
          <w:szCs w:val="24"/>
        </w:rPr>
        <w:t xml:space="preserve">KONU: </w:t>
      </w:r>
      <w:r w:rsidR="005F402C" w:rsidRPr="005F402C">
        <w:rPr>
          <w:rFonts w:ascii="Times New Roman" w:hAnsi="Times New Roman" w:cs="Times New Roman"/>
          <w:b/>
          <w:bCs/>
          <w:sz w:val="24"/>
          <w:szCs w:val="24"/>
        </w:rPr>
        <w:t>GELİR VERGİSİ KANUNU’NDA YER ALAN BAZI PARASAL LİMİTLER 1 OCAK 2017 TARİHİNDEN İTİBAREN GEÇERLİ OLMAK ÜZERE DEĞİŞTİRİLMİŞTİR.</w:t>
      </w:r>
      <w:r w:rsidR="005F402C">
        <w:rPr>
          <w:rFonts w:ascii="Times New Roman" w:eastAsia="Times New Roman" w:hAnsi="Times New Roman" w:cs="Times New Roman"/>
          <w:b/>
          <w:sz w:val="24"/>
          <w:szCs w:val="24"/>
          <w:lang w:eastAsia="tr-TR"/>
        </w:rPr>
        <w:t xml:space="preserve">          </w:t>
      </w:r>
    </w:p>
    <w:p w:rsidR="009D04B1" w:rsidRDefault="00321197" w:rsidP="009D04B1">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183B6D">
        <w:rPr>
          <w:rFonts w:ascii="Times New Roman" w:eastAsia="Times New Roman" w:hAnsi="Times New Roman" w:cs="Times New Roman"/>
          <w:b/>
          <w:sz w:val="24"/>
          <w:szCs w:val="24"/>
          <w:lang w:eastAsia="tr-TR"/>
        </w:rPr>
        <w:t>Sayın Yetkili;</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xml:space="preserve">27 Aralık 2016 tarih ve 29931 sayılı Resmi </w:t>
      </w:r>
      <w:proofErr w:type="spellStart"/>
      <w:r w:rsidRPr="005F402C">
        <w:rPr>
          <w:rFonts w:ascii="Times New Roman" w:hAnsi="Times New Roman" w:cs="Times New Roman"/>
          <w:bCs/>
          <w:sz w:val="24"/>
          <w:szCs w:val="24"/>
        </w:rPr>
        <w:t>Gazete’de</w:t>
      </w:r>
      <w:proofErr w:type="spellEnd"/>
      <w:r w:rsidRPr="005F402C">
        <w:rPr>
          <w:rFonts w:ascii="Times New Roman" w:hAnsi="Times New Roman" w:cs="Times New Roman"/>
          <w:bCs/>
          <w:sz w:val="24"/>
          <w:szCs w:val="24"/>
        </w:rPr>
        <w:t xml:space="preserve"> yayımlanan 296 Seri </w:t>
      </w:r>
      <w:proofErr w:type="spellStart"/>
      <w:r w:rsidRPr="005F402C">
        <w:rPr>
          <w:rFonts w:ascii="Times New Roman" w:hAnsi="Times New Roman" w:cs="Times New Roman"/>
          <w:bCs/>
          <w:sz w:val="24"/>
          <w:szCs w:val="24"/>
        </w:rPr>
        <w:t>No’lu</w:t>
      </w:r>
      <w:proofErr w:type="spellEnd"/>
      <w:r w:rsidRPr="005F402C">
        <w:rPr>
          <w:rFonts w:ascii="Times New Roman" w:hAnsi="Times New Roman" w:cs="Times New Roman"/>
          <w:bCs/>
          <w:sz w:val="24"/>
          <w:szCs w:val="24"/>
        </w:rPr>
        <w:t xml:space="preserve"> Gelir Vergisi Tebliği ile Gelir Vergisi Kanunu’nda yer alan bazı hadlere i</w:t>
      </w:r>
      <w:r>
        <w:rPr>
          <w:rFonts w:ascii="Times New Roman" w:hAnsi="Times New Roman" w:cs="Times New Roman"/>
          <w:bCs/>
          <w:sz w:val="24"/>
          <w:szCs w:val="24"/>
        </w:rPr>
        <w:t>lişkin tutarlar değiştirilmiş olup, y</w:t>
      </w:r>
      <w:r w:rsidRPr="005F402C">
        <w:rPr>
          <w:rFonts w:ascii="Times New Roman" w:hAnsi="Times New Roman" w:cs="Times New Roman"/>
          <w:bCs/>
          <w:sz w:val="24"/>
          <w:szCs w:val="24"/>
        </w:rPr>
        <w:t>eni tutarlar 1 Ocak 2017 tarihinden itibaren geçerli olacaktır.</w:t>
      </w:r>
      <w:r>
        <w:rPr>
          <w:rFonts w:ascii="Times New Roman" w:hAnsi="Times New Roman" w:cs="Times New Roman"/>
          <w:bCs/>
          <w:sz w:val="24"/>
          <w:szCs w:val="24"/>
        </w:rPr>
        <w:t xml:space="preserve"> Buna göre;</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t>1. Gayrimenkul Sermaye İratlarında Uygulanan İstisna Tutarı</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Gelir Vergisi Kanunu’nun 21’inci maddesinde yer alan mesken kira gelirleri için 2016 yılında uygulanan 3.800,00 TL’lik istisna tutarı, 2017 takvim yılında elde edilen mesken kira gelirleri için 3.900,00 TL olarak uygulanacaktır.</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t>2. Hizmet Erbabına İşyeri veya İşyerinin Müştemilatı Dışında Kalan Yerlerde Yemek Verilmek Suretiyle Sağlanan Menfaatlere İlişkin İstisna Tutarı</w:t>
      </w:r>
    </w:p>
    <w:p w:rsidR="005F402C" w:rsidRPr="005F402C" w:rsidRDefault="005F402C" w:rsidP="005F402C">
      <w:pPr>
        <w:rPr>
          <w:rFonts w:ascii="Times New Roman" w:hAnsi="Times New Roman" w:cs="Times New Roman"/>
          <w:bCs/>
          <w:sz w:val="24"/>
          <w:szCs w:val="24"/>
        </w:rPr>
      </w:pPr>
      <w:proofErr w:type="gramStart"/>
      <w:r w:rsidRPr="005F402C">
        <w:rPr>
          <w:rFonts w:ascii="Times New Roman" w:hAnsi="Times New Roman" w:cs="Times New Roman"/>
          <w:bCs/>
          <w:sz w:val="24"/>
          <w:szCs w:val="24"/>
        </w:rPr>
        <w:t>Gelir Vergisi Kanunu’nun 23’üncü maddesinin 8 numaralı bendinde yer alan, işverenlerce işyeri veya işyerinin müştemilatı dışında kalan yerlerde hizmet erbabına yemek verilmek suretiyle sağlanan günlük 13,70 TL’lik (KDV hariç) yemek bedeline (</w:t>
      </w:r>
      <w:proofErr w:type="spellStart"/>
      <w:r w:rsidRPr="005F402C">
        <w:rPr>
          <w:rFonts w:ascii="Times New Roman" w:hAnsi="Times New Roman" w:cs="Times New Roman"/>
          <w:bCs/>
          <w:sz w:val="24"/>
          <w:szCs w:val="24"/>
        </w:rPr>
        <w:t>ticket</w:t>
      </w:r>
      <w:proofErr w:type="spellEnd"/>
      <w:r w:rsidRPr="005F402C">
        <w:rPr>
          <w:rFonts w:ascii="Times New Roman" w:hAnsi="Times New Roman" w:cs="Times New Roman"/>
          <w:bCs/>
          <w:sz w:val="24"/>
          <w:szCs w:val="24"/>
        </w:rPr>
        <w:t>, yemek çekleri vb.) ilişkin istisna tutarı, 1 Ocak 2017 tarihinden itibaren günlük 14,00 TL (KDV hariç) olarak uygulanacaktır.</w:t>
      </w:r>
      <w:proofErr w:type="gramEnd"/>
    </w:p>
    <w:p w:rsid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xml:space="preserve">Katma Değer Vergisini indirime konu edemeyeceği için maliyet veya gider olarak kabul etmek durumunda olan BSMV mükellefi banka, </w:t>
      </w:r>
      <w:proofErr w:type="spellStart"/>
      <w:r w:rsidRPr="005F402C">
        <w:rPr>
          <w:rFonts w:ascii="Times New Roman" w:hAnsi="Times New Roman" w:cs="Times New Roman"/>
          <w:bCs/>
          <w:sz w:val="24"/>
          <w:szCs w:val="24"/>
        </w:rPr>
        <w:t>faktoring</w:t>
      </w:r>
      <w:proofErr w:type="spellEnd"/>
      <w:r w:rsidRPr="005F402C">
        <w:rPr>
          <w:rFonts w:ascii="Times New Roman" w:hAnsi="Times New Roman" w:cs="Times New Roman"/>
          <w:bCs/>
          <w:sz w:val="24"/>
          <w:szCs w:val="24"/>
        </w:rPr>
        <w:t xml:space="preserve">, finansman ve aracı kurum vb. şirketlerin 14,00 TL’yi KDV </w:t>
      </w:r>
      <w:proofErr w:type="gramStart"/>
      <w:r w:rsidRPr="005F402C">
        <w:rPr>
          <w:rFonts w:ascii="Times New Roman" w:hAnsi="Times New Roman" w:cs="Times New Roman"/>
          <w:bCs/>
          <w:sz w:val="24"/>
          <w:szCs w:val="24"/>
        </w:rPr>
        <w:t>dahil</w:t>
      </w:r>
      <w:proofErr w:type="gramEnd"/>
      <w:r w:rsidRPr="005F402C">
        <w:rPr>
          <w:rFonts w:ascii="Times New Roman" w:hAnsi="Times New Roman" w:cs="Times New Roman"/>
          <w:bCs/>
          <w:sz w:val="24"/>
          <w:szCs w:val="24"/>
        </w:rPr>
        <w:t xml:space="preserve"> olarak değerlendirmeleri gerekmektedir. </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t>3. Engellilik İndirimi Tutarı</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Gelir Vergisi Kanunu’nun 31’inci maddesinde yer alan sakatlık indirimi tutarları, 1 Ocak 2017 tarihinden itibaren uygulanmak üzere aylık,</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birinci derece engelliler için 900,00 TL,</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ikinci derece engelliler için 470,00 TL,</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üçüncü derece engelliler için 210,00 TL</w:t>
      </w:r>
    </w:p>
    <w:p w:rsidR="005F402C" w:rsidRDefault="005F402C" w:rsidP="005F402C">
      <w:pPr>
        <w:rPr>
          <w:rFonts w:ascii="Times New Roman" w:hAnsi="Times New Roman" w:cs="Times New Roman"/>
          <w:bCs/>
          <w:sz w:val="24"/>
          <w:szCs w:val="24"/>
        </w:rPr>
      </w:pPr>
      <w:proofErr w:type="gramStart"/>
      <w:r w:rsidRPr="005F402C">
        <w:rPr>
          <w:rFonts w:ascii="Times New Roman" w:hAnsi="Times New Roman" w:cs="Times New Roman"/>
          <w:bCs/>
          <w:sz w:val="24"/>
          <w:szCs w:val="24"/>
        </w:rPr>
        <w:t>olarak</w:t>
      </w:r>
      <w:proofErr w:type="gramEnd"/>
      <w:r w:rsidRPr="005F402C">
        <w:rPr>
          <w:rFonts w:ascii="Times New Roman" w:hAnsi="Times New Roman" w:cs="Times New Roman"/>
          <w:bCs/>
          <w:sz w:val="24"/>
          <w:szCs w:val="24"/>
        </w:rPr>
        <w:t xml:space="preserve"> düzenlenmiştir.</w:t>
      </w:r>
    </w:p>
    <w:p w:rsidR="005F402C" w:rsidRPr="005F402C" w:rsidRDefault="005F402C" w:rsidP="005F402C">
      <w:pPr>
        <w:rPr>
          <w:rFonts w:ascii="Times New Roman" w:hAnsi="Times New Roman" w:cs="Times New Roman"/>
          <w:bCs/>
          <w:sz w:val="24"/>
          <w:szCs w:val="24"/>
        </w:rPr>
      </w:pP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lastRenderedPageBreak/>
        <w:t>4. Değer Artış Kazançları</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Gelir Vergisi Kanunu’nun mükerrer 80’inci maddesinde yer alan değer artışı kazançlarına ilişkin, 2016 takvim yılında 11.000,00 TL olarak uygulanan istisna limiti değişmemiş olup, 1 Ocak 2017 tarihinden itibaren elde edilen gelirlere uygulanmak üzere 11.000,00 TL olarak belirlenmiş bulunmaktadır.</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t>5. Arızi Kazançlar</w:t>
      </w:r>
    </w:p>
    <w:p w:rsidR="005F402C" w:rsidRPr="005F402C" w:rsidRDefault="005F402C" w:rsidP="005F402C">
      <w:pPr>
        <w:rPr>
          <w:rFonts w:ascii="Times New Roman" w:hAnsi="Times New Roman" w:cs="Times New Roman"/>
          <w:bCs/>
          <w:sz w:val="24"/>
          <w:szCs w:val="24"/>
        </w:rPr>
      </w:pPr>
      <w:proofErr w:type="gramStart"/>
      <w:r w:rsidRPr="005F402C">
        <w:rPr>
          <w:rFonts w:ascii="Times New Roman" w:hAnsi="Times New Roman" w:cs="Times New Roman"/>
          <w:bCs/>
          <w:sz w:val="24"/>
          <w:szCs w:val="24"/>
        </w:rPr>
        <w:t>Gelir Vergisi Kanunu’nun 82’nci maddesinde sayılan; arızi olarak ticari muamelelerin icrasından elde edilen kazançlar ile arızi olarak yapılan serbest meslek faaliyetleri dolayısıyla tahsil edilen hasılat gibi arızi kazançlara ilişkin 2016 takvim yılında 24.000,00 TL olarak uygulanan istisna tutarı değişmemiş olup, 2017 takvim yılı gelirlerine uygulanmak üzere 24.000,00 TL olarak </w:t>
      </w:r>
      <w:bookmarkStart w:id="0" w:name="OLE_LINK2"/>
      <w:bookmarkStart w:id="1" w:name="OLE_LINK1"/>
      <w:bookmarkEnd w:id="0"/>
      <w:r w:rsidRPr="005F402C">
        <w:rPr>
          <w:rFonts w:ascii="Times New Roman" w:hAnsi="Times New Roman" w:cs="Times New Roman"/>
          <w:bCs/>
          <w:sz w:val="24"/>
          <w:szCs w:val="24"/>
        </w:rPr>
        <w:t>tespit edilmiştir.</w:t>
      </w:r>
      <w:bookmarkEnd w:id="1"/>
      <w:proofErr w:type="gramEnd"/>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
          <w:bCs/>
          <w:sz w:val="24"/>
          <w:szCs w:val="24"/>
        </w:rPr>
        <w:t>6. Beyanname Verme Sınırı</w:t>
      </w:r>
    </w:p>
    <w:p w:rsidR="005F402C" w:rsidRPr="005F402C" w:rsidRDefault="005F402C" w:rsidP="005F402C">
      <w:pPr>
        <w:rPr>
          <w:rFonts w:ascii="Times New Roman" w:hAnsi="Times New Roman" w:cs="Times New Roman"/>
          <w:bCs/>
          <w:sz w:val="24"/>
          <w:szCs w:val="24"/>
        </w:rPr>
      </w:pPr>
      <w:r w:rsidRPr="005F402C">
        <w:rPr>
          <w:rFonts w:ascii="Times New Roman" w:hAnsi="Times New Roman" w:cs="Times New Roman"/>
          <w:bCs/>
          <w:sz w:val="24"/>
          <w:szCs w:val="24"/>
        </w:rPr>
        <w:t xml:space="preserve">Gelir Vergisi Kanunu’nun 86’ncı maddesinin 1 inci fıkrasının (d) bendinde yer alan; </w:t>
      </w:r>
      <w:proofErr w:type="spellStart"/>
      <w:r w:rsidRPr="005F402C">
        <w:rPr>
          <w:rFonts w:ascii="Times New Roman" w:hAnsi="Times New Roman" w:cs="Times New Roman"/>
          <w:bCs/>
          <w:sz w:val="24"/>
          <w:szCs w:val="24"/>
        </w:rPr>
        <w:t>tevkifata</w:t>
      </w:r>
      <w:proofErr w:type="spellEnd"/>
      <w:r w:rsidRPr="005F402C">
        <w:rPr>
          <w:rFonts w:ascii="Times New Roman" w:hAnsi="Times New Roman" w:cs="Times New Roman"/>
          <w:bCs/>
          <w:sz w:val="24"/>
          <w:szCs w:val="24"/>
        </w:rPr>
        <w:t xml:space="preserve"> ve istisna uygulamasına konu olmayan menkul ve gayrimenkul sermaye iratlarına ilişkin 2016 takvim yılında 1.580,00 TL olarak uygulanan beyanname verme sınırı, 2017 takvim yılı gelirlerine uygulanmak üzere 1.600,00 TL olarak tespit edilmiştir.</w:t>
      </w:r>
      <w:r>
        <w:rPr>
          <w:rFonts w:ascii="Times New Roman" w:hAnsi="Times New Roman" w:cs="Times New Roman"/>
          <w:bCs/>
          <w:sz w:val="24"/>
          <w:szCs w:val="24"/>
        </w:rPr>
        <w:t xml:space="preserve"> Saygılarımızla</w:t>
      </w:r>
    </w:p>
    <w:p w:rsidR="00E964B4" w:rsidRPr="00FC1F0A" w:rsidRDefault="00135EDF" w:rsidP="00321197">
      <w:pPr>
        <w:rPr>
          <w:rFonts w:ascii="Times New Roman" w:hAnsi="Times New Roman" w:cs="Times New Roman"/>
          <w:sz w:val="24"/>
          <w:szCs w:val="24"/>
        </w:rPr>
      </w:pPr>
      <w:r>
        <w:rPr>
          <w:rFonts w:ascii="Times New Roman" w:hAnsi="Times New Roman" w:cs="Times New Roman"/>
          <w:sz w:val="24"/>
          <w:szCs w:val="24"/>
        </w:rPr>
        <w:t xml:space="preserve">              </w:t>
      </w:r>
      <w:r w:rsidR="00E964B4" w:rsidRPr="00FC1F0A">
        <w:rPr>
          <w:rFonts w:ascii="Times New Roman" w:hAnsi="Times New Roman" w:cs="Times New Roman"/>
          <w:sz w:val="24"/>
          <w:szCs w:val="24"/>
        </w:rPr>
        <w:t>Bilgilerinize sunulur.</w:t>
      </w:r>
    </w:p>
    <w:p w:rsidR="00E964B4" w:rsidRPr="00FC1F0A" w:rsidRDefault="00E964B4" w:rsidP="00E964B4">
      <w:pPr>
        <w:spacing w:after="0"/>
        <w:rPr>
          <w:rFonts w:ascii="Times New Roman" w:hAnsi="Times New Roman" w:cs="Times New Roman"/>
          <w:b/>
          <w:sz w:val="24"/>
          <w:szCs w:val="24"/>
        </w:rPr>
      </w:pPr>
      <w:r w:rsidRPr="00FC1F0A">
        <w:rPr>
          <w:rFonts w:ascii="Times New Roman" w:hAnsi="Times New Roman" w:cs="Times New Roman"/>
          <w:b/>
          <w:sz w:val="24"/>
          <w:szCs w:val="24"/>
        </w:rPr>
        <w:t xml:space="preserve">                                       Emsal Yeminli Mali Müşavirlik ve Bağımsız Denetim Ltd. Şti</w:t>
      </w:r>
      <w:r w:rsidR="00135EDF">
        <w:rPr>
          <w:rFonts w:ascii="Times New Roman" w:hAnsi="Times New Roman" w:cs="Times New Roman"/>
          <w:b/>
          <w:sz w:val="24"/>
          <w:szCs w:val="24"/>
        </w:rPr>
        <w:t>.</w:t>
      </w:r>
      <w:bookmarkStart w:id="2" w:name="_GoBack"/>
      <w:bookmarkEnd w:id="2"/>
    </w:p>
    <w:p w:rsidR="007E594E" w:rsidRPr="00FC1F0A" w:rsidRDefault="007E594E" w:rsidP="00452255">
      <w:pPr>
        <w:rPr>
          <w:rFonts w:ascii="Times New Roman" w:hAnsi="Times New Roman" w:cs="Times New Roman"/>
          <w:b/>
          <w:sz w:val="24"/>
          <w:szCs w:val="24"/>
        </w:rPr>
      </w:pPr>
    </w:p>
    <w:sectPr w:rsidR="007E594E" w:rsidRPr="00FC1F0A" w:rsidSect="00B0488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40" w:rsidRDefault="00637940" w:rsidP="00DC21E8">
      <w:pPr>
        <w:spacing w:after="0" w:line="240" w:lineRule="auto"/>
      </w:pPr>
      <w:r>
        <w:separator/>
      </w:r>
    </w:p>
  </w:endnote>
  <w:endnote w:type="continuationSeparator" w:id="0">
    <w:p w:rsidR="00637940" w:rsidRDefault="00637940" w:rsidP="00DC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EMSAL Yeminli Mali Müşavirlik ve Bağımsız Denetim Ltd. Şti. ©2015</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Adres: Mahmutbey Merkez Mah. Taşocağı Cad. No:3 Ağaoğlu MyOffice212  Kat:10 D:173 Bağcılar/İstanbul</w:t>
    </w:r>
  </w:p>
  <w:p w:rsidR="00DC21E8" w:rsidRPr="00DC21E8" w:rsidRDefault="00DC21E8"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r w:rsidRPr="00DC21E8">
      <w:rPr>
        <w:rFonts w:ascii="Times New Roman" w:eastAsia="Times New Roman" w:hAnsi="Times New Roman" w:cs="Times New Roman"/>
        <w:color w:val="000080"/>
        <w:sz w:val="18"/>
        <w:szCs w:val="18"/>
        <w:lang w:val="it-IT" w:eastAsia="tr-TR"/>
      </w:rPr>
      <w:t>Tel: (0212) 571 1010-11 Fax: (0212) 466 10 19</w:t>
    </w:r>
  </w:p>
  <w:p w:rsidR="00DC21E8" w:rsidRPr="00DC21E8" w:rsidRDefault="00637940" w:rsidP="00DC21E8">
    <w:pPr>
      <w:pBdr>
        <w:top w:val="thinThickSmallGap" w:sz="24" w:space="1" w:color="99CCFF"/>
      </w:pBdr>
      <w:tabs>
        <w:tab w:val="center" w:pos="4536"/>
        <w:tab w:val="right" w:pos="9072"/>
      </w:tabs>
      <w:spacing w:after="0" w:line="240" w:lineRule="auto"/>
      <w:ind w:right="360"/>
      <w:jc w:val="center"/>
      <w:rPr>
        <w:rFonts w:ascii="Times New Roman" w:eastAsia="Times New Roman" w:hAnsi="Times New Roman" w:cs="Times New Roman"/>
        <w:color w:val="000080"/>
        <w:sz w:val="18"/>
        <w:szCs w:val="18"/>
        <w:lang w:val="it-IT" w:eastAsia="tr-TR"/>
      </w:rPr>
    </w:pPr>
    <w:hyperlink r:id="rId1" w:history="1">
      <w:r w:rsidR="00DC21E8" w:rsidRPr="00DC21E8">
        <w:rPr>
          <w:rFonts w:ascii="Times New Roman" w:eastAsia="Times New Roman" w:hAnsi="Times New Roman" w:cs="Times New Roman"/>
          <w:color w:val="0000FF"/>
          <w:sz w:val="18"/>
          <w:szCs w:val="18"/>
          <w:u w:val="single"/>
          <w:lang w:val="it-IT" w:eastAsia="tr-TR"/>
        </w:rPr>
        <w:t>www.emsalymm.com.tr</w:t>
      </w:r>
    </w:hyperlink>
  </w:p>
  <w:p w:rsidR="00DC21E8" w:rsidRDefault="00637940" w:rsidP="00DC21E8">
    <w:pPr>
      <w:pStyle w:val="Altbilgi"/>
    </w:pPr>
    <w:hyperlink r:id="rId2" w:history="1">
      <w:r w:rsidR="00DC21E8" w:rsidRPr="00DC21E8">
        <w:rPr>
          <w:rFonts w:ascii="Times New Roman" w:eastAsia="Times New Roman" w:hAnsi="Times New Roman" w:cs="Times New Roman"/>
          <w:color w:val="0000FF"/>
          <w:sz w:val="18"/>
          <w:szCs w:val="18"/>
          <w:u w:val="single"/>
          <w:lang w:val="it-IT" w:eastAsia="tr-TR"/>
        </w:rPr>
        <w:t>info@emsalymm.com.tr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40" w:rsidRDefault="00637940" w:rsidP="00DC21E8">
      <w:pPr>
        <w:spacing w:after="0" w:line="240" w:lineRule="auto"/>
      </w:pPr>
      <w:r>
        <w:separator/>
      </w:r>
    </w:p>
  </w:footnote>
  <w:footnote w:type="continuationSeparator" w:id="0">
    <w:p w:rsidR="00637940" w:rsidRDefault="00637940" w:rsidP="00DC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1E8" w:rsidRDefault="00DC21E8">
    <w:pPr>
      <w:pStyle w:val="stbilgi"/>
    </w:pPr>
    <w:r>
      <w:rPr>
        <w:noProof/>
        <w:lang w:eastAsia="tr-TR"/>
      </w:rPr>
      <w:drawing>
        <wp:inline distT="0" distB="0" distL="0" distR="0">
          <wp:extent cx="2647315" cy="390525"/>
          <wp:effectExtent l="0" t="0" r="63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390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E89"/>
    <w:multiLevelType w:val="multilevel"/>
    <w:tmpl w:val="95F67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4068A"/>
    <w:multiLevelType w:val="multilevel"/>
    <w:tmpl w:val="F7FC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AD6646"/>
    <w:multiLevelType w:val="multilevel"/>
    <w:tmpl w:val="B6D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6D31"/>
    <w:multiLevelType w:val="multilevel"/>
    <w:tmpl w:val="5BE03A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4EC1D0D"/>
    <w:multiLevelType w:val="multilevel"/>
    <w:tmpl w:val="8346A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A62789"/>
    <w:multiLevelType w:val="multilevel"/>
    <w:tmpl w:val="DE24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D506B"/>
    <w:multiLevelType w:val="multilevel"/>
    <w:tmpl w:val="BA6C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45972"/>
    <w:multiLevelType w:val="multilevel"/>
    <w:tmpl w:val="43CE8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1"/>
  </w:num>
  <w:num w:numId="5">
    <w:abstractNumId w:val="0"/>
    <w:lvlOverride w:ilvl="0">
      <w:startOverride w:val="1"/>
    </w:lvlOverride>
  </w:num>
  <w:num w:numId="6">
    <w:abstractNumId w:val="0"/>
    <w:lvlOverride w:ilvl="0">
      <w:startOverride w:val="1"/>
    </w:lvlOverride>
  </w:num>
  <w:num w:numId="7">
    <w:abstractNumId w:val="5"/>
    <w:lvlOverride w:ilvl="0">
      <w:startOverride w:val="2"/>
    </w:lvlOverride>
  </w:num>
  <w:num w:numId="8">
    <w:abstractNumId w:val="4"/>
    <w:lvlOverride w:ilvl="0">
      <w:startOverride w:val="3"/>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36FF"/>
    <w:rsid w:val="00052055"/>
    <w:rsid w:val="00063990"/>
    <w:rsid w:val="00065FDC"/>
    <w:rsid w:val="00092676"/>
    <w:rsid w:val="00135EDF"/>
    <w:rsid w:val="00183B6D"/>
    <w:rsid w:val="002635B2"/>
    <w:rsid w:val="0029116D"/>
    <w:rsid w:val="002F7292"/>
    <w:rsid w:val="00321197"/>
    <w:rsid w:val="0038556C"/>
    <w:rsid w:val="003D5303"/>
    <w:rsid w:val="003F6852"/>
    <w:rsid w:val="00452255"/>
    <w:rsid w:val="00457F56"/>
    <w:rsid w:val="004971FF"/>
    <w:rsid w:val="005F402C"/>
    <w:rsid w:val="006226FB"/>
    <w:rsid w:val="00637940"/>
    <w:rsid w:val="00662E99"/>
    <w:rsid w:val="006C43D3"/>
    <w:rsid w:val="006F47F5"/>
    <w:rsid w:val="00777F35"/>
    <w:rsid w:val="007A22A9"/>
    <w:rsid w:val="007E594E"/>
    <w:rsid w:val="008001D8"/>
    <w:rsid w:val="00843904"/>
    <w:rsid w:val="008F18D7"/>
    <w:rsid w:val="009D04B1"/>
    <w:rsid w:val="00AC2BCB"/>
    <w:rsid w:val="00B04889"/>
    <w:rsid w:val="00C716BA"/>
    <w:rsid w:val="00DC21E8"/>
    <w:rsid w:val="00E336FF"/>
    <w:rsid w:val="00E3707B"/>
    <w:rsid w:val="00E57AF1"/>
    <w:rsid w:val="00E964B4"/>
    <w:rsid w:val="00F64592"/>
    <w:rsid w:val="00F72B46"/>
    <w:rsid w:val="00FC1F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8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 w:type="paragraph" w:styleId="GvdeMetni">
    <w:name w:val="Body Text"/>
    <w:basedOn w:val="Normal"/>
    <w:link w:val="GvdeMetniChar"/>
    <w:uiPriority w:val="99"/>
    <w:semiHidden/>
    <w:unhideWhenUsed/>
    <w:rsid w:val="00452255"/>
    <w:pPr>
      <w:spacing w:after="120"/>
    </w:pPr>
  </w:style>
  <w:style w:type="character" w:customStyle="1" w:styleId="GvdeMetniChar">
    <w:name w:val="Gövde Metni Char"/>
    <w:basedOn w:val="VarsaylanParagrafYazTipi"/>
    <w:link w:val="GvdeMetni"/>
    <w:uiPriority w:val="99"/>
    <w:semiHidden/>
    <w:rsid w:val="00452255"/>
  </w:style>
  <w:style w:type="character" w:styleId="Kpr">
    <w:name w:val="Hyperlink"/>
    <w:basedOn w:val="VarsaylanParagrafYazTipi"/>
    <w:uiPriority w:val="99"/>
    <w:unhideWhenUsed/>
    <w:rsid w:val="0045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21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21E8"/>
  </w:style>
  <w:style w:type="paragraph" w:styleId="Altbilgi">
    <w:name w:val="footer"/>
    <w:basedOn w:val="Normal"/>
    <w:link w:val="AltbilgiChar"/>
    <w:uiPriority w:val="99"/>
    <w:unhideWhenUsed/>
    <w:rsid w:val="00DC21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1E8"/>
  </w:style>
  <w:style w:type="paragraph" w:styleId="BalonMetni">
    <w:name w:val="Balloon Text"/>
    <w:basedOn w:val="Normal"/>
    <w:link w:val="BalonMetniChar"/>
    <w:uiPriority w:val="99"/>
    <w:semiHidden/>
    <w:unhideWhenUsed/>
    <w:rsid w:val="00DC21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21E8"/>
    <w:rPr>
      <w:rFonts w:ascii="Tahoma" w:hAnsi="Tahoma" w:cs="Tahoma"/>
      <w:sz w:val="16"/>
      <w:szCs w:val="16"/>
    </w:rPr>
  </w:style>
  <w:style w:type="paragraph" w:styleId="GvdeMetni2">
    <w:name w:val="Body Text 2"/>
    <w:basedOn w:val="Normal"/>
    <w:link w:val="GvdeMetni2Char"/>
    <w:uiPriority w:val="99"/>
    <w:semiHidden/>
    <w:unhideWhenUsed/>
    <w:rsid w:val="00DC21E8"/>
    <w:pPr>
      <w:spacing w:after="120" w:line="480" w:lineRule="auto"/>
    </w:pPr>
  </w:style>
  <w:style w:type="character" w:customStyle="1" w:styleId="GvdeMetni2Char">
    <w:name w:val="Gövde Metni 2 Char"/>
    <w:basedOn w:val="VarsaylanParagrafYazTipi"/>
    <w:link w:val="GvdeMetni2"/>
    <w:uiPriority w:val="99"/>
    <w:semiHidden/>
    <w:rsid w:val="00DC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7559">
      <w:bodyDiv w:val="1"/>
      <w:marLeft w:val="0"/>
      <w:marRight w:val="0"/>
      <w:marTop w:val="0"/>
      <w:marBottom w:val="0"/>
      <w:divBdr>
        <w:top w:val="none" w:sz="0" w:space="0" w:color="auto"/>
        <w:left w:val="none" w:sz="0" w:space="0" w:color="auto"/>
        <w:bottom w:val="none" w:sz="0" w:space="0" w:color="auto"/>
        <w:right w:val="none" w:sz="0" w:space="0" w:color="auto"/>
      </w:divBdr>
    </w:div>
    <w:div w:id="187717690">
      <w:bodyDiv w:val="1"/>
      <w:marLeft w:val="0"/>
      <w:marRight w:val="0"/>
      <w:marTop w:val="0"/>
      <w:marBottom w:val="0"/>
      <w:divBdr>
        <w:top w:val="none" w:sz="0" w:space="0" w:color="auto"/>
        <w:left w:val="none" w:sz="0" w:space="0" w:color="auto"/>
        <w:bottom w:val="none" w:sz="0" w:space="0" w:color="auto"/>
        <w:right w:val="none" w:sz="0" w:space="0" w:color="auto"/>
      </w:divBdr>
    </w:div>
    <w:div w:id="628633544">
      <w:bodyDiv w:val="1"/>
      <w:marLeft w:val="0"/>
      <w:marRight w:val="0"/>
      <w:marTop w:val="0"/>
      <w:marBottom w:val="0"/>
      <w:divBdr>
        <w:top w:val="none" w:sz="0" w:space="0" w:color="auto"/>
        <w:left w:val="none" w:sz="0" w:space="0" w:color="auto"/>
        <w:bottom w:val="none" w:sz="0" w:space="0" w:color="auto"/>
        <w:right w:val="none" w:sz="0" w:space="0" w:color="auto"/>
      </w:divBdr>
    </w:div>
    <w:div w:id="1351642676">
      <w:bodyDiv w:val="1"/>
      <w:marLeft w:val="0"/>
      <w:marRight w:val="0"/>
      <w:marTop w:val="0"/>
      <w:marBottom w:val="0"/>
      <w:divBdr>
        <w:top w:val="none" w:sz="0" w:space="0" w:color="auto"/>
        <w:left w:val="none" w:sz="0" w:space="0" w:color="auto"/>
        <w:bottom w:val="none" w:sz="0" w:space="0" w:color="auto"/>
        <w:right w:val="none" w:sz="0" w:space="0" w:color="auto"/>
      </w:divBdr>
    </w:div>
    <w:div w:id="1573541155">
      <w:bodyDiv w:val="1"/>
      <w:marLeft w:val="0"/>
      <w:marRight w:val="0"/>
      <w:marTop w:val="0"/>
      <w:marBottom w:val="0"/>
      <w:divBdr>
        <w:top w:val="none" w:sz="0" w:space="0" w:color="auto"/>
        <w:left w:val="none" w:sz="0" w:space="0" w:color="auto"/>
        <w:bottom w:val="none" w:sz="0" w:space="0" w:color="auto"/>
        <w:right w:val="none" w:sz="0" w:space="0" w:color="auto"/>
      </w:divBdr>
    </w:div>
    <w:div w:id="1606499127">
      <w:bodyDiv w:val="1"/>
      <w:marLeft w:val="0"/>
      <w:marRight w:val="0"/>
      <w:marTop w:val="0"/>
      <w:marBottom w:val="0"/>
      <w:divBdr>
        <w:top w:val="none" w:sz="0" w:space="0" w:color="auto"/>
        <w:left w:val="none" w:sz="0" w:space="0" w:color="auto"/>
        <w:bottom w:val="none" w:sz="0" w:space="0" w:color="auto"/>
        <w:right w:val="none" w:sz="0" w:space="0" w:color="auto"/>
      </w:divBdr>
    </w:div>
    <w:div w:id="1668440953">
      <w:bodyDiv w:val="1"/>
      <w:marLeft w:val="0"/>
      <w:marRight w:val="0"/>
      <w:marTop w:val="0"/>
      <w:marBottom w:val="0"/>
      <w:divBdr>
        <w:top w:val="none" w:sz="0" w:space="0" w:color="auto"/>
        <w:left w:val="none" w:sz="0" w:space="0" w:color="auto"/>
        <w:bottom w:val="none" w:sz="0" w:space="0" w:color="auto"/>
        <w:right w:val="none" w:sz="0" w:space="0" w:color="auto"/>
      </w:divBdr>
    </w:div>
    <w:div w:id="1722092024">
      <w:bodyDiv w:val="1"/>
      <w:marLeft w:val="0"/>
      <w:marRight w:val="0"/>
      <w:marTop w:val="0"/>
      <w:marBottom w:val="0"/>
      <w:divBdr>
        <w:top w:val="none" w:sz="0" w:space="0" w:color="auto"/>
        <w:left w:val="none" w:sz="0" w:space="0" w:color="auto"/>
        <w:bottom w:val="none" w:sz="0" w:space="0" w:color="auto"/>
        <w:right w:val="none" w:sz="0" w:space="0" w:color="auto"/>
      </w:divBdr>
    </w:div>
    <w:div w:id="20109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 3</cp:lastModifiedBy>
  <cp:revision>29</cp:revision>
  <dcterms:created xsi:type="dcterms:W3CDTF">2016-11-30T14:26:00Z</dcterms:created>
  <dcterms:modified xsi:type="dcterms:W3CDTF">2016-12-27T09:00:00Z</dcterms:modified>
</cp:coreProperties>
</file>