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49B" w:rsidRPr="00BA05C0" w:rsidRDefault="0035149B" w:rsidP="0035149B">
      <w:pPr>
        <w:tabs>
          <w:tab w:val="left" w:pos="2145"/>
        </w:tabs>
        <w:rPr>
          <w:b/>
        </w:rPr>
      </w:pPr>
      <w:r w:rsidRPr="00255D79">
        <w:rPr>
          <w:b/>
        </w:rPr>
        <w:t xml:space="preserve">                                                                                              </w:t>
      </w:r>
      <w:r>
        <w:rPr>
          <w:b/>
        </w:rPr>
        <w:t xml:space="preserve">                                 </w:t>
      </w:r>
      <w:r w:rsidRPr="00255D79">
        <w:rPr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İstanbul, </w:t>
      </w:r>
      <w:r w:rsidR="00B607C9">
        <w:rPr>
          <w:rFonts w:ascii="Times New Roman" w:hAnsi="Times New Roman" w:cs="Times New Roman"/>
          <w:b/>
          <w:sz w:val="24"/>
          <w:szCs w:val="24"/>
        </w:rPr>
        <w:t>25</w:t>
      </w:r>
      <w:r w:rsidRPr="00255D79">
        <w:rPr>
          <w:rFonts w:ascii="Times New Roman" w:hAnsi="Times New Roman" w:cs="Times New Roman"/>
          <w:b/>
          <w:sz w:val="24"/>
          <w:szCs w:val="24"/>
        </w:rPr>
        <w:t>.12.2015</w:t>
      </w:r>
    </w:p>
    <w:p w:rsidR="0035149B" w:rsidRDefault="0035149B" w:rsidP="0035149B">
      <w:pPr>
        <w:tabs>
          <w:tab w:val="left" w:pos="2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D2A7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35149B" w:rsidRDefault="00BD23C0" w:rsidP="00BD23C0">
      <w:pPr>
        <w:tabs>
          <w:tab w:val="left" w:pos="21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40161B">
        <w:rPr>
          <w:rFonts w:ascii="Times New Roman" w:hAnsi="Times New Roman" w:cs="Times New Roman"/>
          <w:b/>
          <w:sz w:val="24"/>
          <w:szCs w:val="24"/>
        </w:rPr>
        <w:t xml:space="preserve">SİRKÜLER </w:t>
      </w:r>
      <w:r w:rsidR="006448BC">
        <w:rPr>
          <w:rFonts w:ascii="Times New Roman" w:hAnsi="Times New Roman" w:cs="Times New Roman"/>
          <w:b/>
          <w:sz w:val="24"/>
          <w:szCs w:val="24"/>
        </w:rPr>
        <w:t>(2015-29</w:t>
      </w:r>
      <w:r w:rsidR="0035149B" w:rsidRPr="00255D79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5157" w:type="pct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7"/>
      </w:tblGrid>
      <w:tr w:rsidR="009B7EAB" w:rsidRPr="003F3901" w:rsidTr="00262DB7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5000" w:type="pct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7"/>
            </w:tblGrid>
            <w:tr w:rsidR="00262DB7" w:rsidRPr="00262DB7" w:rsidTr="006448BC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62DB7" w:rsidRPr="00262DB7" w:rsidRDefault="00262DB7" w:rsidP="00823C11">
                  <w:pPr>
                    <w:spacing w:after="0" w:line="254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bookmarkStart w:id="0" w:name="_GoBack"/>
                  <w:bookmarkEnd w:id="0"/>
                </w:p>
              </w:tc>
            </w:tr>
            <w:tr w:rsidR="00262DB7" w:rsidRPr="00262DB7" w:rsidTr="006448BC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62DB7" w:rsidRPr="00262DB7" w:rsidRDefault="00262DB7" w:rsidP="00823C11">
                  <w:pPr>
                    <w:spacing w:after="0" w:line="254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</w:p>
              </w:tc>
            </w:tr>
            <w:tr w:rsidR="006448BC" w:rsidRPr="00262DB7" w:rsidTr="006448BC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BC" w:rsidRPr="006448BC" w:rsidRDefault="006448BC" w:rsidP="00801D46">
                  <w:pPr>
                    <w:spacing w:after="0" w:line="254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6448B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KONU</w:t>
                  </w:r>
                  <w:r w:rsidRPr="006448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: </w:t>
                  </w:r>
                  <w:hyperlink r:id="rId8" w:history="1">
                    <w:r w:rsidRPr="002F1217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tr-TR"/>
                      </w:rPr>
                      <w:t>20</w:t>
                    </w:r>
                    <w:r w:rsidRPr="006448BC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tr-TR"/>
                      </w:rPr>
                      <w:t>15 yılında elde edilen bazı gelirlere uygulanacak enflasyon indiri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tr-TR"/>
                      </w:rPr>
                      <w:t>m oranı % 60,39 olarak açıklanmıştır</w:t>
                    </w:r>
                    <w:r w:rsidRPr="006448BC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tr-TR"/>
                      </w:rPr>
                      <w:t>.</w:t>
                    </w:r>
                  </w:hyperlink>
                </w:p>
              </w:tc>
            </w:tr>
            <w:tr w:rsidR="006448BC" w:rsidRPr="00262DB7" w:rsidTr="006448BC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48BC" w:rsidRPr="006448BC" w:rsidRDefault="006448BC" w:rsidP="00801D46">
                  <w:pPr>
                    <w:spacing w:after="0" w:line="254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6448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br/>
                  </w:r>
                  <w:proofErr w:type="gramStart"/>
                  <w:r w:rsidRPr="006448B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ÖZET</w:t>
                  </w:r>
                  <w:r w:rsidRPr="006448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:  </w:t>
                  </w:r>
                  <w:r w:rsidRPr="006448BC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tr-TR"/>
                    </w:rPr>
                    <w:t>Enflasyon indirimi uygulaması, 1 Ocak 2006 tarihinden önce Türk Lirası cinsinden ihraç edilmiş olan;</w:t>
                  </w:r>
                  <w:r w:rsidRPr="006448BC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tr-TR"/>
                    </w:rPr>
                    <w:br/>
                  </w:r>
                  <w:r w:rsidRPr="006448BC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tr-TR"/>
                    </w:rPr>
                    <w:br/>
                    <w:t>- Hazine bonosu ve Devlet tahvillerinden,</w:t>
                  </w:r>
                  <w:r w:rsidRPr="006448BC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tr-TR"/>
                    </w:rPr>
                    <w:br/>
                    <w:t>- Toplu Konut İdaresi ve Özelleştirme İdaresi’nce çıkarılan menkul kıymetlerden,</w:t>
                  </w:r>
                  <w:r w:rsidRPr="006448BC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tr-TR"/>
                    </w:rPr>
                    <w:br/>
                    <w:t>- Özel sektör tahvillerinden,</w:t>
                  </w:r>
                  <w:r w:rsidRPr="006448BC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tr-TR"/>
                    </w:rPr>
                    <w:br/>
                  </w:r>
                  <w:r w:rsidRPr="006448BC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tr-TR"/>
                    </w:rPr>
                    <w:br/>
                    <w:t>bireysel yatırımcılar tarafından 2015 yılında elde edilen menkul sermaye iratları (kupon faizi ve itfa gelirleri) için geçerliliğini korumaktadır.</w:t>
                  </w:r>
                  <w:proofErr w:type="gramEnd"/>
                  <w:r w:rsidRPr="006448BC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tr-TR"/>
                    </w:rPr>
                    <w:br/>
                  </w:r>
                  <w:r w:rsidRPr="006448BC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tr-TR"/>
                    </w:rPr>
                    <w:br/>
                    <w:t>2015 yılında elde edilen yukarıda sayılan menkul sermaye iratlarının beyanında kullanılacak </w:t>
                  </w:r>
                  <w:r w:rsidRPr="006448B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enflasyon indirim oranı</w:t>
                  </w:r>
                  <w:r w:rsidRPr="006448B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br/>
                    <w:t>% 60,39 </w:t>
                  </w:r>
                  <w:r w:rsidRPr="006448BC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tr-TR"/>
                    </w:rPr>
                    <w:t>olarak açıklanmıştır.</w:t>
                  </w:r>
                  <w:r w:rsidRPr="006448BC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tr-TR"/>
                    </w:rPr>
                    <w:br/>
                  </w:r>
                  <w:r w:rsidRPr="006448B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tr-TR"/>
                    </w:rPr>
                    <w:br/>
                  </w:r>
                  <w:r w:rsidRPr="006448BC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tr-TR"/>
                    </w:rPr>
                    <w:t xml:space="preserve">Dövize, altına veya başka bir değere endeksli menkul kıymetler ile döviz cinsinden ihraç edilen menkul kıymetlerden elde edilen menkul sermaye iratlarının beyanında indirim oranı uygulanmamaktadır. Ayrıca, ticari işletmelere </w:t>
                  </w:r>
                  <w:proofErr w:type="gramStart"/>
                  <w:r w:rsidRPr="006448BC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tr-TR"/>
                    </w:rPr>
                    <w:t>dahil</w:t>
                  </w:r>
                  <w:proofErr w:type="gramEnd"/>
                  <w:r w:rsidRPr="006448BC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tr-TR"/>
                    </w:rPr>
                    <w:t xml:space="preserve"> kazanç ve iratlar için indirim oranı uygulanması söz konusu değildir.</w:t>
                  </w:r>
                  <w:r w:rsidRPr="006448BC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tr-TR"/>
                    </w:rPr>
                    <w:br/>
                  </w:r>
                  <w:r w:rsidRPr="006448BC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tr-TR"/>
                    </w:rPr>
                    <w:br/>
                    <w:t xml:space="preserve">Belirtilen indirim oranı 25 Aralık 2015 tarihli Resmi </w:t>
                  </w:r>
                  <w:proofErr w:type="spellStart"/>
                  <w:r w:rsidRPr="006448BC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tr-TR"/>
                    </w:rPr>
                    <w:t>Gazete’de</w:t>
                  </w:r>
                  <w:proofErr w:type="spellEnd"/>
                  <w:r w:rsidRPr="006448BC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tr-TR"/>
                    </w:rPr>
                    <w:t xml:space="preserve"> yayımlanan 290 seri numaralı Gelir Vergisi Genel Tebliği ile duyurulmuştur.</w:t>
                  </w:r>
                </w:p>
                <w:p w:rsidR="006448BC" w:rsidRPr="006448BC" w:rsidRDefault="006448BC" w:rsidP="00801D46">
                  <w:pPr>
                    <w:spacing w:after="0" w:line="254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262DB7" w:rsidRPr="009B7EAB" w:rsidRDefault="00262DB7" w:rsidP="009337FB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E45F92" w:rsidRPr="00FF307F" w:rsidRDefault="0012371C" w:rsidP="00E45F92">
      <w:pPr>
        <w:tabs>
          <w:tab w:val="left" w:pos="2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45F92" w:rsidRPr="00FF307F">
        <w:rPr>
          <w:rFonts w:ascii="Times New Roman" w:hAnsi="Times New Roman" w:cs="Times New Roman"/>
          <w:sz w:val="24"/>
          <w:szCs w:val="24"/>
        </w:rPr>
        <w:t>Bilgilerinize sunar, işlerinizde başarılar dilerim.</w:t>
      </w:r>
    </w:p>
    <w:p w:rsidR="00E45F92" w:rsidRPr="00FF307F" w:rsidRDefault="00E45F92" w:rsidP="00E45F92">
      <w:pPr>
        <w:tabs>
          <w:tab w:val="left" w:pos="21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F30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Emsal ÖZCAN</w:t>
      </w:r>
    </w:p>
    <w:p w:rsidR="00E45F92" w:rsidRPr="00E45F92" w:rsidRDefault="00E45F92" w:rsidP="00172C73">
      <w:pPr>
        <w:tabs>
          <w:tab w:val="left" w:pos="21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F30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Yeminli Mali Müşavir</w:t>
      </w:r>
    </w:p>
    <w:p w:rsidR="005C0DB6" w:rsidRPr="003D7F03" w:rsidRDefault="005C0DB6" w:rsidP="003D7F03">
      <w:pPr>
        <w:rPr>
          <w:rFonts w:ascii="Times New Roman" w:hAnsi="Times New Roman" w:cs="Times New Roman"/>
          <w:sz w:val="24"/>
          <w:szCs w:val="24"/>
        </w:rPr>
      </w:pPr>
    </w:p>
    <w:sectPr w:rsidR="005C0DB6" w:rsidRPr="003D7F0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FA6" w:rsidRDefault="00082FA6" w:rsidP="0035149B">
      <w:pPr>
        <w:spacing w:after="0" w:line="240" w:lineRule="auto"/>
      </w:pPr>
      <w:r>
        <w:separator/>
      </w:r>
    </w:p>
  </w:endnote>
  <w:endnote w:type="continuationSeparator" w:id="0">
    <w:p w:rsidR="00082FA6" w:rsidRDefault="00082FA6" w:rsidP="0035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49B" w:rsidRPr="00255D79" w:rsidRDefault="0035149B" w:rsidP="0035149B">
    <w:pPr>
      <w:pBdr>
        <w:top w:val="thinThickSmallGap" w:sz="24" w:space="1" w:color="99CCFF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</w:pPr>
    <w:r w:rsidRPr="00255D79"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  <w:t>EMSAL Yeminli Mali Müşavirlik ve Bağımsız Denetim Ltd. Şti. ©2015</w:t>
    </w:r>
  </w:p>
  <w:p w:rsidR="0035149B" w:rsidRPr="00255D79" w:rsidRDefault="0035149B" w:rsidP="0035149B">
    <w:pPr>
      <w:pBdr>
        <w:top w:val="thinThickSmallGap" w:sz="24" w:space="1" w:color="99CCFF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</w:pPr>
    <w:r w:rsidRPr="00255D79"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  <w:t>Adres: Mahmutbey Merkez Mah. Taşocağı Cad. No:3 Ağaoğlu MyOffice212  Kat:10 D:173 Bağcılar/İstanbul</w:t>
    </w:r>
  </w:p>
  <w:p w:rsidR="0035149B" w:rsidRPr="00255D79" w:rsidRDefault="0035149B" w:rsidP="0035149B">
    <w:pPr>
      <w:pBdr>
        <w:top w:val="thinThickSmallGap" w:sz="24" w:space="1" w:color="99CCFF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</w:pPr>
    <w:r w:rsidRPr="00255D79"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  <w:t>Tel: (0212) 571 1010-11 Fax: (0212) 466 10 19</w:t>
    </w:r>
  </w:p>
  <w:p w:rsidR="0035149B" w:rsidRPr="00255D79" w:rsidRDefault="00082FA6" w:rsidP="0035149B">
    <w:pPr>
      <w:pBdr>
        <w:top w:val="thinThickSmallGap" w:sz="24" w:space="1" w:color="99CCFF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</w:pPr>
    <w:hyperlink r:id="rId1" w:history="1">
      <w:r w:rsidR="0035149B" w:rsidRPr="00255D79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it-IT" w:eastAsia="tr-TR"/>
        </w:rPr>
        <w:t>www.emsalymm.com.tr</w:t>
      </w:r>
    </w:hyperlink>
  </w:p>
  <w:p w:rsidR="0035149B" w:rsidRPr="00255D79" w:rsidRDefault="00082FA6" w:rsidP="0035149B">
    <w:pPr>
      <w:pBdr>
        <w:top w:val="thinThickSmallGap" w:sz="24" w:space="1" w:color="99CCFF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</w:pPr>
    <w:hyperlink r:id="rId2" w:history="1">
      <w:r w:rsidR="0035149B" w:rsidRPr="00255D79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it-IT" w:eastAsia="tr-TR"/>
        </w:rPr>
        <w:t>info@emsalymm.com.tr</w:t>
      </w:r>
    </w:hyperlink>
  </w:p>
  <w:p w:rsidR="0035149B" w:rsidRDefault="0035149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FA6" w:rsidRDefault="00082FA6" w:rsidP="0035149B">
      <w:pPr>
        <w:spacing w:after="0" w:line="240" w:lineRule="auto"/>
      </w:pPr>
      <w:r>
        <w:separator/>
      </w:r>
    </w:p>
  </w:footnote>
  <w:footnote w:type="continuationSeparator" w:id="0">
    <w:p w:rsidR="00082FA6" w:rsidRDefault="00082FA6" w:rsidP="0035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49B" w:rsidRDefault="0035149B">
    <w:pPr>
      <w:pStyle w:val="stbilgi"/>
    </w:pPr>
    <w:r>
      <w:rPr>
        <w:noProof/>
        <w:lang w:eastAsia="tr-TR"/>
      </w:rPr>
      <w:drawing>
        <wp:inline distT="0" distB="0" distL="0" distR="0" wp14:anchorId="059A7B62" wp14:editId="127C09B0">
          <wp:extent cx="2639695" cy="384175"/>
          <wp:effectExtent l="0" t="0" r="825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969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18BD"/>
    <w:multiLevelType w:val="multilevel"/>
    <w:tmpl w:val="6A80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7D24D8C"/>
    <w:multiLevelType w:val="multilevel"/>
    <w:tmpl w:val="7EF8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9B"/>
    <w:rsid w:val="00033B4A"/>
    <w:rsid w:val="00057FE8"/>
    <w:rsid w:val="00073CBF"/>
    <w:rsid w:val="000753C4"/>
    <w:rsid w:val="00082FA6"/>
    <w:rsid w:val="0012371C"/>
    <w:rsid w:val="00150D67"/>
    <w:rsid w:val="00172C73"/>
    <w:rsid w:val="00183EDC"/>
    <w:rsid w:val="00191F67"/>
    <w:rsid w:val="001A28BA"/>
    <w:rsid w:val="001B6507"/>
    <w:rsid w:val="001C20A0"/>
    <w:rsid w:val="00240DC4"/>
    <w:rsid w:val="00262DB7"/>
    <w:rsid w:val="002D2A7B"/>
    <w:rsid w:val="002F1217"/>
    <w:rsid w:val="0035149B"/>
    <w:rsid w:val="003617A6"/>
    <w:rsid w:val="003D7F03"/>
    <w:rsid w:val="003E447D"/>
    <w:rsid w:val="0040161B"/>
    <w:rsid w:val="0042372A"/>
    <w:rsid w:val="0043155F"/>
    <w:rsid w:val="004C3FE9"/>
    <w:rsid w:val="00540ED7"/>
    <w:rsid w:val="005C0DB6"/>
    <w:rsid w:val="006448BC"/>
    <w:rsid w:val="0066789D"/>
    <w:rsid w:val="007578D3"/>
    <w:rsid w:val="007F640C"/>
    <w:rsid w:val="00807FBB"/>
    <w:rsid w:val="00841646"/>
    <w:rsid w:val="008D6DA7"/>
    <w:rsid w:val="0094213E"/>
    <w:rsid w:val="00992FE9"/>
    <w:rsid w:val="009B7EAB"/>
    <w:rsid w:val="009E500D"/>
    <w:rsid w:val="00A342F0"/>
    <w:rsid w:val="00A41E1D"/>
    <w:rsid w:val="00AB31D8"/>
    <w:rsid w:val="00B26CDE"/>
    <w:rsid w:val="00B607C9"/>
    <w:rsid w:val="00BD23C0"/>
    <w:rsid w:val="00D32F35"/>
    <w:rsid w:val="00D730FF"/>
    <w:rsid w:val="00E33F4F"/>
    <w:rsid w:val="00E45F92"/>
    <w:rsid w:val="00E66941"/>
    <w:rsid w:val="00E87B0D"/>
    <w:rsid w:val="00FF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4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51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5149B"/>
  </w:style>
  <w:style w:type="paragraph" w:styleId="Altbilgi">
    <w:name w:val="footer"/>
    <w:basedOn w:val="Normal"/>
    <w:link w:val="AltbilgiChar"/>
    <w:uiPriority w:val="99"/>
    <w:unhideWhenUsed/>
    <w:rsid w:val="00351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5149B"/>
  </w:style>
  <w:style w:type="paragraph" w:styleId="BalonMetni">
    <w:name w:val="Balloon Text"/>
    <w:basedOn w:val="Normal"/>
    <w:link w:val="BalonMetniChar"/>
    <w:uiPriority w:val="99"/>
    <w:semiHidden/>
    <w:unhideWhenUsed/>
    <w:rsid w:val="00351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149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40E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4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51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5149B"/>
  </w:style>
  <w:style w:type="paragraph" w:styleId="Altbilgi">
    <w:name w:val="footer"/>
    <w:basedOn w:val="Normal"/>
    <w:link w:val="AltbilgiChar"/>
    <w:uiPriority w:val="99"/>
    <w:unhideWhenUsed/>
    <w:rsid w:val="00351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5149B"/>
  </w:style>
  <w:style w:type="paragraph" w:styleId="BalonMetni">
    <w:name w:val="Balloon Text"/>
    <w:basedOn w:val="Normal"/>
    <w:link w:val="BalonMetniChar"/>
    <w:uiPriority w:val="99"/>
    <w:semiHidden/>
    <w:unhideWhenUsed/>
    <w:rsid w:val="00351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149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40E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gidegundem.com/documents/10156/2502508/SIRKULER-2015-89-EnfIndOrani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msalymm.com.tr" TargetMode="External"/><Relationship Id="rId1" Type="http://schemas.openxmlformats.org/officeDocument/2006/relationships/hyperlink" Target="http://www.emsalymm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</dc:creator>
  <cp:lastModifiedBy>User 3</cp:lastModifiedBy>
  <cp:revision>32</cp:revision>
  <dcterms:created xsi:type="dcterms:W3CDTF">2016-01-04T09:04:00Z</dcterms:created>
  <dcterms:modified xsi:type="dcterms:W3CDTF">2016-01-04T13:07:00Z</dcterms:modified>
</cp:coreProperties>
</file>