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9B" w:rsidRPr="00BA05C0" w:rsidRDefault="0035149B" w:rsidP="0035149B">
      <w:pPr>
        <w:tabs>
          <w:tab w:val="left" w:pos="2145"/>
        </w:tabs>
        <w:rPr>
          <w:b/>
        </w:rPr>
      </w:pPr>
      <w:r w:rsidRPr="00255D79">
        <w:rPr>
          <w:b/>
        </w:rPr>
        <w:t xml:space="preserve">                                                                                              </w:t>
      </w:r>
      <w:r>
        <w:rPr>
          <w:b/>
        </w:rPr>
        <w:t xml:space="preserve">                                 </w:t>
      </w:r>
      <w:r w:rsidRPr="00255D79">
        <w:rPr>
          <w:b/>
        </w:rPr>
        <w:t xml:space="preserve"> </w:t>
      </w:r>
      <w:r>
        <w:rPr>
          <w:rFonts w:ascii="Times New Roman" w:hAnsi="Times New Roman" w:cs="Times New Roman"/>
          <w:b/>
          <w:sz w:val="24"/>
          <w:szCs w:val="24"/>
        </w:rPr>
        <w:t xml:space="preserve">İstanbul, </w:t>
      </w:r>
      <w:r w:rsidR="00150D67">
        <w:rPr>
          <w:rFonts w:ascii="Times New Roman" w:hAnsi="Times New Roman" w:cs="Times New Roman"/>
          <w:b/>
          <w:sz w:val="24"/>
          <w:szCs w:val="24"/>
        </w:rPr>
        <w:t>28</w:t>
      </w:r>
      <w:r w:rsidRPr="00255D79">
        <w:rPr>
          <w:rFonts w:ascii="Times New Roman" w:hAnsi="Times New Roman" w:cs="Times New Roman"/>
          <w:b/>
          <w:sz w:val="24"/>
          <w:szCs w:val="24"/>
        </w:rPr>
        <w:t>.12.2015</w:t>
      </w:r>
    </w:p>
    <w:p w:rsidR="0035149B" w:rsidRDefault="0035149B" w:rsidP="0035149B">
      <w:pPr>
        <w:tabs>
          <w:tab w:val="left" w:pos="2145"/>
        </w:tabs>
        <w:rPr>
          <w:rFonts w:ascii="Times New Roman" w:hAnsi="Times New Roman" w:cs="Times New Roman"/>
          <w:sz w:val="24"/>
          <w:szCs w:val="24"/>
        </w:rPr>
      </w:pPr>
      <w:r>
        <w:rPr>
          <w:rFonts w:ascii="Times New Roman" w:hAnsi="Times New Roman" w:cs="Times New Roman"/>
          <w:sz w:val="24"/>
          <w:szCs w:val="24"/>
        </w:rPr>
        <w:t xml:space="preserve">                    </w:t>
      </w:r>
      <w:r w:rsidR="002D2A7B">
        <w:rPr>
          <w:rFonts w:ascii="Times New Roman" w:hAnsi="Times New Roman" w:cs="Times New Roman"/>
          <w:sz w:val="24"/>
          <w:szCs w:val="24"/>
        </w:rPr>
        <w:t xml:space="preserve">                             </w:t>
      </w:r>
    </w:p>
    <w:p w:rsidR="0035149B" w:rsidRDefault="00BD23C0" w:rsidP="00BD23C0">
      <w:pPr>
        <w:tabs>
          <w:tab w:val="left" w:pos="2145"/>
        </w:tabs>
        <w:rPr>
          <w:rFonts w:ascii="Times New Roman" w:hAnsi="Times New Roman" w:cs="Times New Roman"/>
          <w:b/>
          <w:sz w:val="24"/>
          <w:szCs w:val="24"/>
        </w:rPr>
      </w:pPr>
      <w:r>
        <w:rPr>
          <w:rFonts w:ascii="Times New Roman" w:hAnsi="Times New Roman" w:cs="Times New Roman"/>
          <w:b/>
          <w:sz w:val="24"/>
          <w:szCs w:val="24"/>
        </w:rPr>
        <w:t xml:space="preserve">                                              </w:t>
      </w:r>
      <w:r w:rsidR="0040161B">
        <w:rPr>
          <w:rFonts w:ascii="Times New Roman" w:hAnsi="Times New Roman" w:cs="Times New Roman"/>
          <w:b/>
          <w:sz w:val="24"/>
          <w:szCs w:val="24"/>
        </w:rPr>
        <w:t xml:space="preserve">SİRKÜLER </w:t>
      </w:r>
      <w:r w:rsidR="00150D67">
        <w:rPr>
          <w:rFonts w:ascii="Times New Roman" w:hAnsi="Times New Roman" w:cs="Times New Roman"/>
          <w:b/>
          <w:sz w:val="24"/>
          <w:szCs w:val="24"/>
        </w:rPr>
        <w:t>(2015-22</w:t>
      </w:r>
      <w:r w:rsidR="0035149B" w:rsidRPr="00255D79">
        <w:rPr>
          <w:rFonts w:ascii="Times New Roman" w:hAnsi="Times New Roman" w:cs="Times New Roman"/>
          <w:b/>
          <w:sz w:val="24"/>
          <w:szCs w:val="24"/>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150D67" w:rsidRPr="00150D67" w:rsidTr="00282852">
        <w:tc>
          <w:tcPr>
            <w:tcW w:w="0" w:type="auto"/>
            <w:shd w:val="clear" w:color="auto" w:fill="FFFFFF"/>
            <w:tcMar>
              <w:top w:w="0" w:type="dxa"/>
              <w:left w:w="0" w:type="dxa"/>
              <w:bottom w:w="0" w:type="dxa"/>
              <w:right w:w="0" w:type="dxa"/>
            </w:tcMar>
            <w:vAlign w:val="center"/>
            <w:hideMark/>
          </w:tcPr>
          <w:p w:rsidR="00150D67" w:rsidRPr="00150D67" w:rsidRDefault="00150D67" w:rsidP="00150D67">
            <w:pPr>
              <w:tabs>
                <w:tab w:val="left" w:pos="2145"/>
              </w:tabs>
              <w:rPr>
                <w:rFonts w:ascii="Times New Roman" w:hAnsi="Times New Roman" w:cs="Times New Roman"/>
                <w:b/>
                <w:sz w:val="24"/>
                <w:szCs w:val="24"/>
              </w:rPr>
            </w:pPr>
            <w:r w:rsidRPr="00150D67">
              <w:rPr>
                <w:rFonts w:ascii="Times New Roman" w:hAnsi="Times New Roman" w:cs="Times New Roman"/>
                <w:b/>
                <w:bCs/>
                <w:sz w:val="24"/>
                <w:szCs w:val="24"/>
              </w:rPr>
              <w:t>KONU</w:t>
            </w:r>
            <w:r w:rsidRPr="00150D67">
              <w:rPr>
                <w:rFonts w:ascii="Times New Roman" w:hAnsi="Times New Roman" w:cs="Times New Roman"/>
                <w:b/>
                <w:sz w:val="24"/>
                <w:szCs w:val="24"/>
              </w:rPr>
              <w:t>:</w:t>
            </w:r>
            <w:r>
              <w:rPr>
                <w:rFonts w:ascii="Times New Roman" w:hAnsi="Times New Roman" w:cs="Times New Roman"/>
                <w:b/>
                <w:sz w:val="24"/>
                <w:szCs w:val="24"/>
              </w:rPr>
              <w:t xml:space="preserve"> </w:t>
            </w:r>
            <w:hyperlink r:id="rId8" w:history="1">
              <w:r w:rsidRPr="00150D67">
                <w:rPr>
                  <w:rStyle w:val="Kpr"/>
                  <w:rFonts w:ascii="Times New Roman" w:hAnsi="Times New Roman" w:cs="Times New Roman"/>
                  <w:b/>
                  <w:sz w:val="24"/>
                  <w:szCs w:val="24"/>
                  <w:u w:val="none"/>
                </w:rPr>
                <w:t>2</w:t>
              </w:r>
              <w:r w:rsidRPr="00150D67">
                <w:rPr>
                  <w:rStyle w:val="Kpr"/>
                  <w:rFonts w:ascii="Times New Roman" w:hAnsi="Times New Roman" w:cs="Times New Roman"/>
                  <w:b/>
                  <w:color w:val="000000" w:themeColor="text1"/>
                  <w:sz w:val="24"/>
                  <w:szCs w:val="24"/>
                  <w:u w:val="none"/>
                </w:rPr>
                <w:t>016 yılında veraset ve intikal vergisinden istisna olarak dikkate alınacak tutarlar ile vergi tarifesi açıklandı.</w:t>
              </w:r>
            </w:hyperlink>
          </w:p>
        </w:tc>
      </w:tr>
      <w:tr w:rsidR="00150D67" w:rsidRPr="00150D67" w:rsidTr="00282852">
        <w:tc>
          <w:tcPr>
            <w:tcW w:w="0" w:type="auto"/>
            <w:shd w:val="clear" w:color="auto" w:fill="FFFFFF"/>
            <w:tcMar>
              <w:top w:w="0" w:type="dxa"/>
              <w:left w:w="0" w:type="dxa"/>
              <w:bottom w:w="0" w:type="dxa"/>
              <w:right w:w="0" w:type="dxa"/>
            </w:tcMar>
            <w:vAlign w:val="center"/>
            <w:hideMark/>
          </w:tcPr>
          <w:p w:rsidR="00150D67" w:rsidRPr="00150D67" w:rsidRDefault="00150D67" w:rsidP="00150D67">
            <w:pPr>
              <w:tabs>
                <w:tab w:val="left" w:pos="2145"/>
              </w:tabs>
              <w:spacing w:after="0"/>
              <w:rPr>
                <w:rFonts w:ascii="Times New Roman" w:hAnsi="Times New Roman" w:cs="Times New Roman"/>
                <w:iCs/>
                <w:sz w:val="24"/>
                <w:szCs w:val="24"/>
              </w:rPr>
            </w:pPr>
            <w:r w:rsidRPr="00150D67">
              <w:rPr>
                <w:rFonts w:ascii="Times New Roman" w:hAnsi="Times New Roman" w:cs="Times New Roman"/>
                <w:b/>
                <w:sz w:val="24"/>
                <w:szCs w:val="24"/>
              </w:rPr>
              <w:br/>
            </w:r>
            <w:r w:rsidRPr="00150D67">
              <w:rPr>
                <w:rFonts w:ascii="Times New Roman" w:hAnsi="Times New Roman" w:cs="Times New Roman"/>
                <w:b/>
                <w:bCs/>
                <w:sz w:val="24"/>
                <w:szCs w:val="24"/>
              </w:rPr>
              <w:t>ÖZET</w:t>
            </w:r>
            <w:r w:rsidRPr="00150D67">
              <w:rPr>
                <w:rFonts w:ascii="Times New Roman" w:hAnsi="Times New Roman" w:cs="Times New Roman"/>
                <w:b/>
                <w:sz w:val="24"/>
                <w:szCs w:val="24"/>
              </w:rPr>
              <w:t>: </w:t>
            </w:r>
            <w:r w:rsidRPr="00150D67">
              <w:rPr>
                <w:rFonts w:ascii="Times New Roman" w:hAnsi="Times New Roman" w:cs="Times New Roman"/>
                <w:iCs/>
                <w:sz w:val="24"/>
                <w:szCs w:val="24"/>
              </w:rPr>
              <w:t xml:space="preserve">Maliye Bakanlığı tarafından, 2015 yılı yeniden değerleme oranı (% 5,58) dikkate alınarak hesaplanan; 2016 yılında </w:t>
            </w:r>
            <w:r w:rsidRPr="00150D67">
              <w:rPr>
                <w:rFonts w:ascii="Times New Roman" w:hAnsi="Times New Roman" w:cs="Times New Roman"/>
                <w:bCs/>
                <w:sz w:val="24"/>
                <w:szCs w:val="24"/>
              </w:rPr>
              <w:t>veraset ve intikal vergisinden istisna olarak değerlendirilecek tutarlar </w:t>
            </w:r>
            <w:r w:rsidRPr="00150D67">
              <w:rPr>
                <w:rFonts w:ascii="Times New Roman" w:hAnsi="Times New Roman" w:cs="Times New Roman"/>
                <w:iCs/>
                <w:sz w:val="24"/>
                <w:szCs w:val="24"/>
              </w:rPr>
              <w:t>ile </w:t>
            </w:r>
            <w:r w:rsidRPr="00150D67">
              <w:rPr>
                <w:rFonts w:ascii="Times New Roman" w:hAnsi="Times New Roman" w:cs="Times New Roman"/>
                <w:bCs/>
                <w:sz w:val="24"/>
                <w:szCs w:val="24"/>
              </w:rPr>
              <w:t xml:space="preserve">vergi tarifesi gelir dilimleri 25 Aralık 2015 tarihli Resmi </w:t>
            </w:r>
            <w:proofErr w:type="spellStart"/>
            <w:r w:rsidRPr="00150D67">
              <w:rPr>
                <w:rFonts w:ascii="Times New Roman" w:hAnsi="Times New Roman" w:cs="Times New Roman"/>
                <w:bCs/>
                <w:sz w:val="24"/>
                <w:szCs w:val="24"/>
              </w:rPr>
              <w:t>Gazete’de</w:t>
            </w:r>
            <w:proofErr w:type="spellEnd"/>
            <w:r w:rsidRPr="00150D67">
              <w:rPr>
                <w:rFonts w:ascii="Times New Roman" w:hAnsi="Times New Roman" w:cs="Times New Roman"/>
                <w:bCs/>
                <w:sz w:val="24"/>
                <w:szCs w:val="24"/>
              </w:rPr>
              <w:t xml:space="preserve"> yayımlanan 47 seri numaralı Veraset ve İntikal Vergisi Kanunu Genel Tebliği ile duyurulmuştur</w:t>
            </w:r>
            <w:r>
              <w:rPr>
                <w:rFonts w:ascii="Times New Roman" w:hAnsi="Times New Roman" w:cs="Times New Roman"/>
                <w:bCs/>
                <w:sz w:val="24"/>
                <w:szCs w:val="24"/>
              </w:rPr>
              <w:t>. Buna Göre;</w:t>
            </w:r>
          </w:p>
          <w:p w:rsidR="00150D67" w:rsidRPr="00150D67" w:rsidRDefault="00150D67" w:rsidP="00150D67">
            <w:pPr>
              <w:tabs>
                <w:tab w:val="left" w:pos="2145"/>
              </w:tabs>
              <w:spacing w:after="0"/>
              <w:rPr>
                <w:rFonts w:ascii="Times New Roman" w:hAnsi="Times New Roman" w:cs="Times New Roman"/>
                <w:b/>
                <w:sz w:val="24"/>
                <w:szCs w:val="24"/>
              </w:rPr>
            </w:pPr>
          </w:p>
        </w:tc>
      </w:tr>
      <w:tr w:rsidR="00150D67" w:rsidRPr="00150D67" w:rsidTr="00282852">
        <w:tc>
          <w:tcPr>
            <w:tcW w:w="0" w:type="auto"/>
            <w:shd w:val="clear" w:color="auto" w:fill="FFFFFF"/>
            <w:tcMar>
              <w:top w:w="0" w:type="dxa"/>
              <w:left w:w="0" w:type="dxa"/>
              <w:bottom w:w="0" w:type="dxa"/>
              <w:right w:w="0" w:type="dxa"/>
            </w:tcMar>
            <w:vAlign w:val="center"/>
            <w:hideMark/>
          </w:tcPr>
          <w:p w:rsidR="00150D67" w:rsidRPr="00150D67" w:rsidRDefault="00150D67" w:rsidP="00150D67">
            <w:pPr>
              <w:tabs>
                <w:tab w:val="left" w:pos="2145"/>
              </w:tabs>
              <w:spacing w:after="0"/>
              <w:rPr>
                <w:rFonts w:ascii="Times New Roman" w:hAnsi="Times New Roman" w:cs="Times New Roman"/>
                <w:sz w:val="24"/>
                <w:szCs w:val="24"/>
              </w:rPr>
            </w:pPr>
          </w:p>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Türkiye Cumhuriyeti tabiiyetinde bulunan şahıslara ait mallar ile Türkiye'de bulunan malların veraset tarikiyle veya hangi suretle olursa olsun ivazsız bir tarzda bir şahıstan diğer şahsa intikali veraset ve intikal vergisinin konusunu oluşturmaktadır.</w:t>
            </w:r>
          </w:p>
          <w:p w:rsid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xml:space="preserve">Veraset ve İntikal Vergisi Kanunu'nun 4. maddesinde ise veraset ve intikal vergisinden istisna olan işlemler sayılmaktadır. Sözü geçen maddenin son fıkrasında, (b), (d) ve (e) bentlerine göre, her bir takvim yılında uygulanacak istisna hadlerinin, önceki yılda uygulanan istisna hadlerine bu yıla ilişkin olarak Vergi Usul Kanunu hükümleri uyarınca belirlenen yeniden değerleme oranında artış yapılmak suretiyle tespit olunacağı hükmü yer almaktadır. </w:t>
            </w:r>
          </w:p>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Anılan Kanun'un "Nispetler" başlıklı 16. maddesinde ise veraset ve intikal vergisi tarifesi yer almaktadır. Maddenin 3. fıkrasında, vergi tarifesinin matrah dilim tutarlarının, her yıl bir önceki yıla ilişkin olarak Vergi Usul Kanunu uyarınca belirlenen yeniden değerleme oranında artırılmak suretiyle uygulanacağına hükmedilmiştir. Bu şekilde hesaplanan dilim tutarlarının yüzde 5'ini aşmayan kesirler dikkate alınmamaktadır.</w:t>
            </w:r>
          </w:p>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xml:space="preserve">2015 yılına ilişkin yeniden değerleme oranı % 5,58 olarak hesaplanmış ve 10 Kasım 2015 tarihli Resmi </w:t>
            </w:r>
            <w:proofErr w:type="spellStart"/>
            <w:r w:rsidRPr="00150D67">
              <w:rPr>
                <w:rFonts w:ascii="Times New Roman" w:hAnsi="Times New Roman" w:cs="Times New Roman"/>
                <w:sz w:val="24"/>
                <w:szCs w:val="24"/>
              </w:rPr>
              <w:t>Gazete'de</w:t>
            </w:r>
            <w:proofErr w:type="spellEnd"/>
            <w:r w:rsidRPr="00150D67">
              <w:rPr>
                <w:rFonts w:ascii="Times New Roman" w:hAnsi="Times New Roman" w:cs="Times New Roman"/>
                <w:sz w:val="24"/>
                <w:szCs w:val="24"/>
              </w:rPr>
              <w:t xml:space="preserve"> yayımlanan 457 sıra numaralı Vergi Usul Kanunu Genel Tebliği ile duyurulmuştur.</w:t>
            </w:r>
          </w:p>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w:t>
            </w:r>
          </w:p>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xml:space="preserve">Söz konusu Tebliğ'deki bilgiler çerçevesinde, 2016 yılında veraset ve intikal vergisinden istisna olarak dikkate alınacak tutarlar ile vergi tarifesi aşağıda </w:t>
            </w:r>
            <w:r>
              <w:rPr>
                <w:rFonts w:ascii="Times New Roman" w:hAnsi="Times New Roman" w:cs="Times New Roman"/>
                <w:sz w:val="24"/>
                <w:szCs w:val="24"/>
              </w:rPr>
              <w:t>belirtilmiştir.</w:t>
            </w:r>
          </w:p>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bCs/>
                <w:sz w:val="24"/>
                <w:szCs w:val="24"/>
              </w:rPr>
              <w:t xml:space="preserve">1. Veraset ve intikal vergisinden istisna tutarlar (VİVK </w:t>
            </w:r>
            <w:proofErr w:type="spellStart"/>
            <w:r w:rsidRPr="00150D67">
              <w:rPr>
                <w:rFonts w:ascii="Times New Roman" w:hAnsi="Times New Roman" w:cs="Times New Roman"/>
                <w:bCs/>
                <w:sz w:val="24"/>
                <w:szCs w:val="24"/>
              </w:rPr>
              <w:t>md.</w:t>
            </w:r>
            <w:proofErr w:type="spellEnd"/>
            <w:r w:rsidRPr="00150D67">
              <w:rPr>
                <w:rFonts w:ascii="Times New Roman" w:hAnsi="Times New Roman" w:cs="Times New Roman"/>
                <w:bCs/>
                <w:sz w:val="24"/>
                <w:szCs w:val="24"/>
              </w:rPr>
              <w:t xml:space="preserve"> 4)</w:t>
            </w:r>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5"/>
              <w:gridCol w:w="1560"/>
            </w:tblGrid>
            <w:tr w:rsidR="00150D67" w:rsidRPr="00150D67" w:rsidTr="00282852">
              <w:tc>
                <w:tcPr>
                  <w:tcW w:w="73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xml:space="preserve"> Evlatlıklar </w:t>
                  </w:r>
                  <w:proofErr w:type="gramStart"/>
                  <w:r w:rsidRPr="00150D67">
                    <w:rPr>
                      <w:rFonts w:ascii="Times New Roman" w:hAnsi="Times New Roman" w:cs="Times New Roman"/>
                      <w:sz w:val="24"/>
                      <w:szCs w:val="24"/>
                    </w:rPr>
                    <w:t>dahil</w:t>
                  </w:r>
                  <w:proofErr w:type="gramEnd"/>
                  <w:r w:rsidRPr="00150D67">
                    <w:rPr>
                      <w:rFonts w:ascii="Times New Roman" w:hAnsi="Times New Roman" w:cs="Times New Roman"/>
                      <w:sz w:val="24"/>
                      <w:szCs w:val="24"/>
                    </w:rPr>
                    <w:t xml:space="preserve"> </w:t>
                  </w:r>
                  <w:proofErr w:type="spellStart"/>
                  <w:r w:rsidRPr="00150D67">
                    <w:rPr>
                      <w:rFonts w:ascii="Times New Roman" w:hAnsi="Times New Roman" w:cs="Times New Roman"/>
                      <w:sz w:val="24"/>
                      <w:szCs w:val="24"/>
                    </w:rPr>
                    <w:t>füruğ</w:t>
                  </w:r>
                  <w:proofErr w:type="spellEnd"/>
                  <w:r w:rsidRPr="00150D67">
                    <w:rPr>
                      <w:rFonts w:ascii="Times New Roman" w:hAnsi="Times New Roman" w:cs="Times New Roman"/>
                      <w:sz w:val="24"/>
                      <w:szCs w:val="24"/>
                    </w:rPr>
                    <w:t xml:space="preserve"> ve eşten her birine isabet eden miras hisselerinde</w:t>
                  </w:r>
                </w:p>
              </w:tc>
              <w:tc>
                <w:tcPr>
                  <w:tcW w:w="1560"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170.086 TL</w:t>
                  </w:r>
                </w:p>
              </w:tc>
            </w:tr>
            <w:tr w:rsidR="00150D67" w:rsidRPr="00150D67" w:rsidTr="00282852">
              <w:tc>
                <w:tcPr>
                  <w:tcW w:w="73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w:t>
                  </w:r>
                  <w:proofErr w:type="spellStart"/>
                  <w:r w:rsidRPr="00150D67">
                    <w:rPr>
                      <w:rFonts w:ascii="Times New Roman" w:hAnsi="Times New Roman" w:cs="Times New Roman"/>
                      <w:sz w:val="24"/>
                      <w:szCs w:val="24"/>
                    </w:rPr>
                    <w:t>Füruğ</w:t>
                  </w:r>
                  <w:proofErr w:type="spellEnd"/>
                  <w:r w:rsidRPr="00150D67">
                    <w:rPr>
                      <w:rFonts w:ascii="Times New Roman" w:hAnsi="Times New Roman" w:cs="Times New Roman"/>
                      <w:sz w:val="24"/>
                      <w:szCs w:val="24"/>
                    </w:rPr>
                    <w:t xml:space="preserve"> bulunmaması halinde, eşe isabet eden miras hissesinde</w:t>
                  </w:r>
                </w:p>
              </w:tc>
              <w:tc>
                <w:tcPr>
                  <w:tcW w:w="1560"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340.381 TL</w:t>
                  </w:r>
                </w:p>
              </w:tc>
            </w:tr>
            <w:tr w:rsidR="00150D67" w:rsidRPr="00150D67" w:rsidTr="00282852">
              <w:tc>
                <w:tcPr>
                  <w:tcW w:w="73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İvazsız suretle meydana gelen intikallerde</w:t>
                  </w:r>
                </w:p>
              </w:tc>
              <w:tc>
                <w:tcPr>
                  <w:tcW w:w="1560"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3.918 TL</w:t>
                  </w:r>
                </w:p>
              </w:tc>
            </w:tr>
            <w:tr w:rsidR="00150D67" w:rsidRPr="00150D67" w:rsidTr="00282852">
              <w:tc>
                <w:tcPr>
                  <w:tcW w:w="73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Para ve mal üzerine düzenlenen yarışma ve çekilişlerde kazanılan ikramiyelerde</w:t>
                  </w:r>
                </w:p>
              </w:tc>
              <w:tc>
                <w:tcPr>
                  <w:tcW w:w="1560"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3.918 TL</w:t>
                  </w:r>
                </w:p>
              </w:tc>
            </w:tr>
          </w:tbl>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w:t>
            </w:r>
          </w:p>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bCs/>
                <w:sz w:val="24"/>
                <w:szCs w:val="24"/>
              </w:rPr>
              <w:lastRenderedPageBreak/>
              <w:t xml:space="preserve">2. Veraset ve intikal vergisi tarifesi (VİVK </w:t>
            </w:r>
            <w:proofErr w:type="spellStart"/>
            <w:r w:rsidRPr="00150D67">
              <w:rPr>
                <w:rFonts w:ascii="Times New Roman" w:hAnsi="Times New Roman" w:cs="Times New Roman"/>
                <w:bCs/>
                <w:sz w:val="24"/>
                <w:szCs w:val="24"/>
              </w:rPr>
              <w:t>md.</w:t>
            </w:r>
            <w:proofErr w:type="spellEnd"/>
            <w:r w:rsidRPr="00150D67">
              <w:rPr>
                <w:rFonts w:ascii="Times New Roman" w:hAnsi="Times New Roman" w:cs="Times New Roman"/>
                <w:bCs/>
                <w:sz w:val="24"/>
                <w:szCs w:val="24"/>
              </w:rPr>
              <w:t xml:space="preserve"> 16)</w:t>
            </w:r>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2265"/>
              <w:gridCol w:w="2265"/>
            </w:tblGrid>
            <w:tr w:rsidR="00150D67" w:rsidRPr="00150D67" w:rsidTr="00282852">
              <w:tc>
                <w:tcPr>
                  <w:tcW w:w="0" w:type="auto"/>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w:t>
                  </w:r>
                </w:p>
              </w:tc>
              <w:tc>
                <w:tcPr>
                  <w:tcW w:w="4530" w:type="dxa"/>
                  <w:gridSpan w:val="2"/>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bCs/>
                      <w:sz w:val="24"/>
                      <w:szCs w:val="24"/>
                    </w:rPr>
                    <w:t>Vergi oranı</w:t>
                  </w:r>
                </w:p>
              </w:tc>
            </w:tr>
            <w:tr w:rsidR="00150D67" w:rsidRPr="00150D67" w:rsidTr="00282852">
              <w:tc>
                <w:tcPr>
                  <w:tcW w:w="439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bCs/>
                      <w:sz w:val="24"/>
                      <w:szCs w:val="24"/>
                    </w:rPr>
                    <w:t> Matrah dilim tutarları</w:t>
                  </w:r>
                </w:p>
              </w:tc>
              <w:tc>
                <w:tcPr>
                  <w:tcW w:w="22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bCs/>
                      <w:sz w:val="24"/>
                      <w:szCs w:val="24"/>
                    </w:rPr>
                    <w:t>Veraset yoluyla intikallerde</w:t>
                  </w:r>
                </w:p>
              </w:tc>
              <w:tc>
                <w:tcPr>
                  <w:tcW w:w="22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bCs/>
                      <w:sz w:val="24"/>
                      <w:szCs w:val="24"/>
                    </w:rPr>
                    <w:t>İvazsız intikallerde*</w:t>
                  </w:r>
                </w:p>
              </w:tc>
            </w:tr>
            <w:tr w:rsidR="00150D67" w:rsidRPr="00150D67" w:rsidTr="00282852">
              <w:tc>
                <w:tcPr>
                  <w:tcW w:w="439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İlk 210.000 TL için</w:t>
                  </w:r>
                </w:p>
              </w:tc>
              <w:tc>
                <w:tcPr>
                  <w:tcW w:w="22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1</w:t>
                  </w:r>
                </w:p>
              </w:tc>
              <w:tc>
                <w:tcPr>
                  <w:tcW w:w="22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10</w:t>
                  </w:r>
                </w:p>
              </w:tc>
            </w:tr>
            <w:tr w:rsidR="00150D67" w:rsidRPr="00150D67" w:rsidTr="00282852">
              <w:tc>
                <w:tcPr>
                  <w:tcW w:w="439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Sonra gelen 500.000 TL için</w:t>
                  </w:r>
                </w:p>
              </w:tc>
              <w:tc>
                <w:tcPr>
                  <w:tcW w:w="22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3</w:t>
                  </w:r>
                </w:p>
              </w:tc>
              <w:tc>
                <w:tcPr>
                  <w:tcW w:w="22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15</w:t>
                  </w:r>
                </w:p>
              </w:tc>
            </w:tr>
            <w:tr w:rsidR="00150D67" w:rsidRPr="00150D67" w:rsidTr="00282852">
              <w:tc>
                <w:tcPr>
                  <w:tcW w:w="439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Sonra gelen 1.110.000 TL için</w:t>
                  </w:r>
                </w:p>
              </w:tc>
              <w:tc>
                <w:tcPr>
                  <w:tcW w:w="22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5</w:t>
                  </w:r>
                </w:p>
              </w:tc>
              <w:tc>
                <w:tcPr>
                  <w:tcW w:w="22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20</w:t>
                  </w:r>
                </w:p>
              </w:tc>
            </w:tr>
            <w:tr w:rsidR="00150D67" w:rsidRPr="00150D67" w:rsidTr="00282852">
              <w:tc>
                <w:tcPr>
                  <w:tcW w:w="439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Sonra gelen 2.000.000 TL için</w:t>
                  </w:r>
                </w:p>
              </w:tc>
              <w:tc>
                <w:tcPr>
                  <w:tcW w:w="22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7</w:t>
                  </w:r>
                </w:p>
              </w:tc>
              <w:tc>
                <w:tcPr>
                  <w:tcW w:w="22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25</w:t>
                  </w:r>
                </w:p>
              </w:tc>
            </w:tr>
            <w:tr w:rsidR="00150D67" w:rsidRPr="00150D67" w:rsidTr="00282852">
              <w:tc>
                <w:tcPr>
                  <w:tcW w:w="439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Matrahın 3.820.000 TL'yi aşan bölümü için</w:t>
                  </w:r>
                </w:p>
              </w:tc>
              <w:tc>
                <w:tcPr>
                  <w:tcW w:w="22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10</w:t>
                  </w:r>
                </w:p>
              </w:tc>
              <w:tc>
                <w:tcPr>
                  <w:tcW w:w="2265" w:type="dxa"/>
                  <w:tcBorders>
                    <w:top w:val="outset" w:sz="6" w:space="0" w:color="auto"/>
                    <w:left w:val="outset" w:sz="6" w:space="0" w:color="auto"/>
                    <w:bottom w:val="outset" w:sz="6" w:space="0" w:color="auto"/>
                    <w:right w:val="outset" w:sz="6" w:space="0" w:color="auto"/>
                  </w:tcBorders>
                  <w:vAlign w:val="center"/>
                  <w:hideMark/>
                </w:tcPr>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t>% 30</w:t>
                  </w:r>
                </w:p>
              </w:tc>
            </w:tr>
          </w:tbl>
          <w:p w:rsidR="00150D67" w:rsidRPr="00150D67" w:rsidRDefault="00150D67" w:rsidP="00150D67">
            <w:pPr>
              <w:tabs>
                <w:tab w:val="left" w:pos="2145"/>
              </w:tabs>
              <w:spacing w:after="0"/>
              <w:rPr>
                <w:rFonts w:ascii="Times New Roman" w:hAnsi="Times New Roman" w:cs="Times New Roman"/>
                <w:sz w:val="24"/>
                <w:szCs w:val="24"/>
              </w:rPr>
            </w:pPr>
            <w:r w:rsidRPr="00150D67">
              <w:rPr>
                <w:rFonts w:ascii="Times New Roman" w:hAnsi="Times New Roman" w:cs="Times New Roman"/>
                <w:sz w:val="24"/>
                <w:szCs w:val="24"/>
              </w:rPr>
              <w:br/>
            </w:r>
            <w:r w:rsidRPr="00150D67">
              <w:rPr>
                <w:rFonts w:ascii="Times New Roman" w:hAnsi="Times New Roman" w:cs="Times New Roman"/>
                <w:i/>
                <w:iCs/>
                <w:sz w:val="24"/>
                <w:szCs w:val="24"/>
              </w:rPr>
              <w:t>* Bir şahsa ana, baba, eş ve çocuklarından (evlatlıktan evlat edinenlere yapılan intikaller hariç) ivazsız mal intikalinde oranların yarısı dikkate alınır.</w:t>
            </w:r>
          </w:p>
        </w:tc>
      </w:tr>
    </w:tbl>
    <w:p w:rsidR="00150D67" w:rsidRDefault="00150D67" w:rsidP="00BD23C0">
      <w:pPr>
        <w:tabs>
          <w:tab w:val="left" w:pos="2145"/>
        </w:tabs>
        <w:rPr>
          <w:rFonts w:ascii="Times New Roman" w:hAnsi="Times New Roman" w:cs="Times New Roman"/>
          <w:b/>
          <w:sz w:val="24"/>
          <w:szCs w:val="24"/>
        </w:rPr>
      </w:pPr>
      <w:bookmarkStart w:id="0" w:name="_GoBack"/>
      <w:bookmarkEnd w:id="0"/>
    </w:p>
    <w:p w:rsidR="00E45F92" w:rsidRPr="00FF307F" w:rsidRDefault="00E45F92" w:rsidP="00E45F92">
      <w:pPr>
        <w:tabs>
          <w:tab w:val="left" w:pos="2145"/>
        </w:tabs>
        <w:rPr>
          <w:rFonts w:ascii="Times New Roman" w:hAnsi="Times New Roman" w:cs="Times New Roman"/>
          <w:sz w:val="24"/>
          <w:szCs w:val="24"/>
        </w:rPr>
      </w:pPr>
      <w:r w:rsidRPr="00FF307F">
        <w:rPr>
          <w:rFonts w:ascii="Times New Roman" w:hAnsi="Times New Roman" w:cs="Times New Roman"/>
          <w:sz w:val="24"/>
          <w:szCs w:val="24"/>
        </w:rPr>
        <w:t>Bilgilerinize sunar, işlerinizde başarılar dilerim.</w:t>
      </w:r>
    </w:p>
    <w:p w:rsidR="00E45F92" w:rsidRPr="00FF307F" w:rsidRDefault="00E45F92" w:rsidP="00E45F92">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Emsal ÖZCAN</w:t>
      </w:r>
    </w:p>
    <w:p w:rsidR="00E45F92" w:rsidRPr="00FF307F" w:rsidRDefault="00E45F92" w:rsidP="00E45F92">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Yeminli Mali Müşavir</w:t>
      </w:r>
    </w:p>
    <w:p w:rsidR="00E45F92" w:rsidRPr="00E45F92" w:rsidRDefault="00E45F92" w:rsidP="00E45F92">
      <w:pPr>
        <w:rPr>
          <w:rFonts w:ascii="Times New Roman" w:hAnsi="Times New Roman" w:cs="Times New Roman"/>
          <w:sz w:val="24"/>
          <w:szCs w:val="24"/>
        </w:rPr>
      </w:pPr>
    </w:p>
    <w:p w:rsidR="005C0DB6" w:rsidRPr="003D7F03" w:rsidRDefault="005C0DB6" w:rsidP="003D7F03">
      <w:pPr>
        <w:rPr>
          <w:rFonts w:ascii="Times New Roman" w:hAnsi="Times New Roman" w:cs="Times New Roman"/>
          <w:sz w:val="24"/>
          <w:szCs w:val="24"/>
        </w:rPr>
      </w:pPr>
    </w:p>
    <w:sectPr w:rsidR="005C0DB6" w:rsidRPr="003D7F0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B4A" w:rsidRDefault="00033B4A" w:rsidP="0035149B">
      <w:pPr>
        <w:spacing w:after="0" w:line="240" w:lineRule="auto"/>
      </w:pPr>
      <w:r>
        <w:separator/>
      </w:r>
    </w:p>
  </w:endnote>
  <w:endnote w:type="continuationSeparator" w:id="0">
    <w:p w:rsidR="00033B4A" w:rsidRDefault="00033B4A" w:rsidP="0035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EMSAL Yeminli Mali Müşavirlik ve Bağımsız Denetim Ltd. Şti. ©2015</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Tel: (0212) 571 1010-11 Fax: (0212) 466 10 19</w:t>
    </w:r>
  </w:p>
  <w:p w:rsidR="0035149B" w:rsidRPr="00255D79" w:rsidRDefault="00033B4A"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0035149B" w:rsidRPr="00255D79">
        <w:rPr>
          <w:rFonts w:ascii="Times New Roman" w:eastAsia="Times New Roman" w:hAnsi="Times New Roman" w:cs="Times New Roman"/>
          <w:color w:val="0000FF"/>
          <w:sz w:val="18"/>
          <w:szCs w:val="18"/>
          <w:u w:val="single"/>
          <w:lang w:val="it-IT" w:eastAsia="tr-TR"/>
        </w:rPr>
        <w:t>www.emsalymm.com.tr</w:t>
      </w:r>
    </w:hyperlink>
  </w:p>
  <w:p w:rsidR="0035149B" w:rsidRPr="00255D79" w:rsidRDefault="00033B4A"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2" w:history="1">
      <w:r w:rsidR="0035149B" w:rsidRPr="00255D79">
        <w:rPr>
          <w:rFonts w:ascii="Times New Roman" w:eastAsia="Times New Roman" w:hAnsi="Times New Roman" w:cs="Times New Roman"/>
          <w:color w:val="0000FF"/>
          <w:sz w:val="18"/>
          <w:szCs w:val="18"/>
          <w:u w:val="single"/>
          <w:lang w:val="it-IT" w:eastAsia="tr-TR"/>
        </w:rPr>
        <w:t>info@emsalymm.com.tr</w:t>
      </w:r>
    </w:hyperlink>
  </w:p>
  <w:p w:rsidR="0035149B" w:rsidRDefault="003514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B4A" w:rsidRDefault="00033B4A" w:rsidP="0035149B">
      <w:pPr>
        <w:spacing w:after="0" w:line="240" w:lineRule="auto"/>
      </w:pPr>
      <w:r>
        <w:separator/>
      </w:r>
    </w:p>
  </w:footnote>
  <w:footnote w:type="continuationSeparator" w:id="0">
    <w:p w:rsidR="00033B4A" w:rsidRDefault="00033B4A" w:rsidP="00351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Default="0035149B">
    <w:pPr>
      <w:pStyle w:val="stbilgi"/>
    </w:pPr>
    <w:r>
      <w:rPr>
        <w:noProof/>
        <w:lang w:eastAsia="tr-TR"/>
      </w:rPr>
      <w:drawing>
        <wp:inline distT="0" distB="0" distL="0" distR="0" wp14:anchorId="059A7B62" wp14:editId="127C09B0">
          <wp:extent cx="2639695" cy="384175"/>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384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8BD"/>
    <w:multiLevelType w:val="multilevel"/>
    <w:tmpl w:val="6A8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D24D8C"/>
    <w:multiLevelType w:val="multilevel"/>
    <w:tmpl w:val="7EF8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9B"/>
    <w:rsid w:val="00033B4A"/>
    <w:rsid w:val="00150D67"/>
    <w:rsid w:val="00183EDC"/>
    <w:rsid w:val="00191F67"/>
    <w:rsid w:val="001A28BA"/>
    <w:rsid w:val="001C20A0"/>
    <w:rsid w:val="002D2A7B"/>
    <w:rsid w:val="0035149B"/>
    <w:rsid w:val="003D7F03"/>
    <w:rsid w:val="0040161B"/>
    <w:rsid w:val="0043155F"/>
    <w:rsid w:val="004C3FE9"/>
    <w:rsid w:val="00540ED7"/>
    <w:rsid w:val="005C0DB6"/>
    <w:rsid w:val="007578D3"/>
    <w:rsid w:val="007F640C"/>
    <w:rsid w:val="00807FBB"/>
    <w:rsid w:val="00841646"/>
    <w:rsid w:val="0094213E"/>
    <w:rsid w:val="00992FE9"/>
    <w:rsid w:val="00AB31D8"/>
    <w:rsid w:val="00B26CDE"/>
    <w:rsid w:val="00BD23C0"/>
    <w:rsid w:val="00D730FF"/>
    <w:rsid w:val="00E33F4F"/>
    <w:rsid w:val="00E45F92"/>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0987">
      <w:bodyDiv w:val="1"/>
      <w:marLeft w:val="0"/>
      <w:marRight w:val="0"/>
      <w:marTop w:val="0"/>
      <w:marBottom w:val="0"/>
      <w:divBdr>
        <w:top w:val="none" w:sz="0" w:space="0" w:color="auto"/>
        <w:left w:val="none" w:sz="0" w:space="0" w:color="auto"/>
        <w:bottom w:val="none" w:sz="0" w:space="0" w:color="auto"/>
        <w:right w:val="none" w:sz="0" w:space="0" w:color="auto"/>
      </w:divBdr>
      <w:divsChild>
        <w:div w:id="1264264691">
          <w:marLeft w:val="0"/>
          <w:marRight w:val="0"/>
          <w:marTop w:val="0"/>
          <w:marBottom w:val="0"/>
          <w:divBdr>
            <w:top w:val="none" w:sz="0" w:space="0" w:color="auto"/>
            <w:left w:val="none" w:sz="0" w:space="0" w:color="auto"/>
            <w:bottom w:val="none" w:sz="0" w:space="0" w:color="auto"/>
            <w:right w:val="none" w:sz="0" w:space="0" w:color="auto"/>
          </w:divBdr>
        </w:div>
      </w:divsChild>
    </w:div>
    <w:div w:id="462962085">
      <w:bodyDiv w:val="1"/>
      <w:marLeft w:val="0"/>
      <w:marRight w:val="0"/>
      <w:marTop w:val="0"/>
      <w:marBottom w:val="0"/>
      <w:divBdr>
        <w:top w:val="none" w:sz="0" w:space="0" w:color="auto"/>
        <w:left w:val="none" w:sz="0" w:space="0" w:color="auto"/>
        <w:bottom w:val="none" w:sz="0" w:space="0" w:color="auto"/>
        <w:right w:val="none" w:sz="0" w:space="0" w:color="auto"/>
      </w:divBdr>
      <w:divsChild>
        <w:div w:id="104884403">
          <w:marLeft w:val="0"/>
          <w:marRight w:val="0"/>
          <w:marTop w:val="0"/>
          <w:marBottom w:val="0"/>
          <w:divBdr>
            <w:top w:val="none" w:sz="0" w:space="0" w:color="auto"/>
            <w:left w:val="none" w:sz="0" w:space="0" w:color="auto"/>
            <w:bottom w:val="none" w:sz="0" w:space="0" w:color="auto"/>
            <w:right w:val="none" w:sz="0" w:space="0" w:color="auto"/>
          </w:divBdr>
        </w:div>
      </w:divsChild>
    </w:div>
    <w:div w:id="472218870">
      <w:bodyDiv w:val="1"/>
      <w:marLeft w:val="0"/>
      <w:marRight w:val="0"/>
      <w:marTop w:val="0"/>
      <w:marBottom w:val="0"/>
      <w:divBdr>
        <w:top w:val="none" w:sz="0" w:space="0" w:color="auto"/>
        <w:left w:val="none" w:sz="0" w:space="0" w:color="auto"/>
        <w:bottom w:val="none" w:sz="0" w:space="0" w:color="auto"/>
        <w:right w:val="none" w:sz="0" w:space="0" w:color="auto"/>
      </w:divBdr>
      <w:divsChild>
        <w:div w:id="214330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idegundem.com/documents/10156/2502508/SIRKULER-96-VIV-Istisna-Tarif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529</Words>
  <Characters>3017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14</cp:revision>
  <dcterms:created xsi:type="dcterms:W3CDTF">2016-01-04T09:04:00Z</dcterms:created>
  <dcterms:modified xsi:type="dcterms:W3CDTF">2016-01-04T11:23:00Z</dcterms:modified>
</cp:coreProperties>
</file>